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autoSpaceDE w:val="0"/>
        <w:autoSpaceDN w:val="0"/>
        <w:adjustRightInd w:val="0"/>
        <w:ind w:left="0" w:firstLine="0"/>
        <w:contextualSpacing/>
        <w:jc w:val="center"/>
        <w:rPr>
          <w:rFonts w:eastAsiaTheme="minorEastAsia"/>
          <w:b/>
          <w:bCs/>
          <w:sz w:val="28"/>
          <w:szCs w:val="28"/>
          <w:shd w:val="clear" w:color="auto" w:fill="FFFFFF"/>
          <w:lang w:eastAsia="zh-CN"/>
        </w:rPr>
      </w:pPr>
    </w:p>
    <w:p>
      <w:pPr>
        <w:widowControl w:val="0"/>
        <w:autoSpaceDE w:val="0"/>
        <w:autoSpaceDN w:val="0"/>
        <w:adjustRightInd w:val="0"/>
        <w:ind w:left="0" w:firstLine="0"/>
        <w:contextualSpacing/>
        <w:jc w:val="center"/>
        <w:rPr>
          <w:rFonts w:eastAsiaTheme="minorEastAsia"/>
          <w:b/>
          <w:bCs/>
          <w:sz w:val="28"/>
          <w:szCs w:val="28"/>
          <w:lang w:eastAsia="zh-CN"/>
        </w:rPr>
      </w:pPr>
    </w:p>
    <w:p>
      <w:pPr>
        <w:widowControl w:val="0"/>
        <w:autoSpaceDE w:val="0"/>
        <w:autoSpaceDN w:val="0"/>
        <w:adjustRightInd w:val="0"/>
        <w:ind w:left="0" w:firstLine="0"/>
        <w:contextualSpacing/>
        <w:jc w:val="center"/>
        <w:rPr>
          <w:rFonts w:eastAsiaTheme="minorEastAsia"/>
          <w:b/>
          <w:bCs/>
          <w:sz w:val="28"/>
          <w:szCs w:val="28"/>
          <w:lang w:eastAsia="zh-CN"/>
        </w:rPr>
      </w:pPr>
    </w:p>
    <w:p>
      <w:pPr>
        <w:widowControl w:val="0"/>
        <w:autoSpaceDE w:val="0"/>
        <w:autoSpaceDN w:val="0"/>
        <w:adjustRightInd w:val="0"/>
        <w:ind w:left="0" w:firstLine="0"/>
        <w:contextualSpacing/>
        <w:jc w:val="center"/>
        <w:rPr>
          <w:rFonts w:eastAsiaTheme="minorEastAsia"/>
          <w:b/>
          <w:bCs/>
          <w:sz w:val="28"/>
          <w:szCs w:val="28"/>
          <w:lang w:eastAsia="zh-CN"/>
        </w:rPr>
      </w:pPr>
    </w:p>
    <w:p>
      <w:pPr>
        <w:widowControl w:val="0"/>
        <w:autoSpaceDE w:val="0"/>
        <w:autoSpaceDN w:val="0"/>
        <w:adjustRightInd w:val="0"/>
        <w:ind w:left="0" w:firstLine="0"/>
        <w:contextualSpacing/>
        <w:jc w:val="center"/>
        <w:rPr>
          <w:rFonts w:eastAsia="仿宋"/>
          <w:b/>
          <w:bCs/>
          <w:sz w:val="36"/>
          <w:szCs w:val="36"/>
          <w:lang w:eastAsia="zh-CN"/>
        </w:rPr>
      </w:pPr>
      <w:r>
        <w:rPr>
          <w:rFonts w:hint="eastAsia" w:eastAsia="仿宋"/>
          <w:b/>
          <w:bCs/>
          <w:sz w:val="36"/>
          <w:szCs w:val="36"/>
          <w:lang w:eastAsia="zh-CN"/>
        </w:rPr>
        <w:t>健康志愿者空腹/餐后单次口服XXXXXX</w:t>
      </w:r>
    </w:p>
    <w:p>
      <w:pPr>
        <w:widowControl w:val="0"/>
        <w:autoSpaceDE w:val="0"/>
        <w:autoSpaceDN w:val="0"/>
        <w:adjustRightInd w:val="0"/>
        <w:ind w:left="0" w:firstLine="0"/>
        <w:contextualSpacing/>
        <w:jc w:val="center"/>
        <w:rPr>
          <w:rFonts w:eastAsia="仿宋"/>
          <w:b/>
          <w:bCs/>
          <w:sz w:val="36"/>
          <w:szCs w:val="36"/>
          <w:lang w:eastAsia="zh-CN"/>
        </w:rPr>
      </w:pPr>
      <w:r>
        <w:rPr>
          <w:rFonts w:hint="eastAsia" w:eastAsia="仿宋"/>
          <w:b/>
          <w:bCs/>
          <w:sz w:val="36"/>
          <w:szCs w:val="36"/>
          <w:lang w:eastAsia="zh-CN"/>
        </w:rPr>
        <w:t>的随机、开放、两制剂、两周期、双交叉的</w:t>
      </w:r>
    </w:p>
    <w:p>
      <w:pPr>
        <w:widowControl w:val="0"/>
        <w:autoSpaceDE w:val="0"/>
        <w:autoSpaceDN w:val="0"/>
        <w:adjustRightInd w:val="0"/>
        <w:ind w:left="0" w:firstLine="0"/>
        <w:contextualSpacing/>
        <w:jc w:val="center"/>
        <w:rPr>
          <w:rFonts w:eastAsia="仿宋"/>
          <w:b/>
          <w:bCs/>
          <w:sz w:val="36"/>
          <w:szCs w:val="36"/>
          <w:lang w:eastAsia="zh-CN"/>
        </w:rPr>
      </w:pPr>
      <w:r>
        <w:rPr>
          <w:rFonts w:hint="eastAsia" w:eastAsia="仿宋"/>
          <w:b/>
          <w:bCs/>
          <w:sz w:val="36"/>
          <w:szCs w:val="36"/>
          <w:lang w:eastAsia="zh-CN"/>
        </w:rPr>
        <w:t>人体生物等效性试验</w:t>
      </w:r>
    </w:p>
    <w:p>
      <w:pPr>
        <w:widowControl w:val="0"/>
        <w:autoSpaceDE w:val="0"/>
        <w:autoSpaceDN w:val="0"/>
        <w:adjustRightInd w:val="0"/>
        <w:ind w:left="0" w:firstLine="0"/>
        <w:contextualSpacing/>
        <w:jc w:val="center"/>
        <w:rPr>
          <w:rFonts w:eastAsia="仿宋"/>
          <w:sz w:val="32"/>
          <w:szCs w:val="32"/>
          <w:lang w:eastAsia="zh-CN"/>
        </w:rPr>
      </w:pPr>
    </w:p>
    <w:p>
      <w:pPr>
        <w:pStyle w:val="3"/>
        <w:autoSpaceDE w:val="0"/>
        <w:autoSpaceDN w:val="0"/>
        <w:adjustRightInd w:val="0"/>
        <w:ind w:left="0" w:firstLine="0"/>
        <w:contextualSpacing/>
        <w:jc w:val="center"/>
        <w:rPr>
          <w:rFonts w:ascii="Times New Roman" w:hAnsi="Times New Roman" w:cs="Times New Roman" w:eastAsiaTheme="minorEastAsia"/>
          <w:b/>
          <w:bCs/>
          <w:color w:val="auto"/>
          <w:sz w:val="28"/>
          <w:szCs w:val="28"/>
          <w:lang w:val="zh-TW" w:eastAsia="zh-TW"/>
        </w:rPr>
      </w:pPr>
    </w:p>
    <w:p>
      <w:pPr>
        <w:pStyle w:val="3"/>
        <w:autoSpaceDE w:val="0"/>
        <w:autoSpaceDN w:val="0"/>
        <w:adjustRightInd w:val="0"/>
        <w:ind w:left="0" w:firstLine="2693" w:firstLineChars="958"/>
        <w:contextualSpacing/>
        <w:rPr>
          <w:rFonts w:hint="eastAsia" w:ascii="Times New Roman" w:hAnsi="Times New Roman" w:cs="Times New Roman" w:eastAsiaTheme="minorEastAsia"/>
          <w:b/>
          <w:bCs/>
          <w:color w:val="auto"/>
          <w:sz w:val="28"/>
          <w:szCs w:val="28"/>
          <w:lang w:eastAsia="zh-CN"/>
        </w:rPr>
      </w:pPr>
      <w:r>
        <w:rPr>
          <w:rFonts w:ascii="Times New Roman" w:hAnsi="Times New Roman" w:cs="Times New Roman" w:eastAsiaTheme="minorEastAsia"/>
          <w:b/>
          <w:bCs/>
          <w:color w:val="auto"/>
          <w:sz w:val="28"/>
          <w:szCs w:val="28"/>
          <w:lang w:val="zh-TW" w:eastAsia="zh-TW"/>
        </w:rPr>
        <w:t>方案编号：</w:t>
      </w:r>
      <w:r>
        <w:rPr>
          <w:rFonts w:hint="eastAsia" w:ascii="Times New Roman" w:hAnsi="Times New Roman" w:cs="Times New Roman" w:eastAsiaTheme="minorEastAsia"/>
          <w:b/>
          <w:bCs/>
          <w:color w:val="auto"/>
          <w:sz w:val="28"/>
          <w:szCs w:val="28"/>
          <w:lang w:eastAsia="zh-CN"/>
        </w:rPr>
        <w:t>XXXXXX</w:t>
      </w:r>
    </w:p>
    <w:p>
      <w:pPr>
        <w:pStyle w:val="3"/>
        <w:autoSpaceDE w:val="0"/>
        <w:autoSpaceDN w:val="0"/>
        <w:adjustRightInd w:val="0"/>
        <w:ind w:left="0" w:firstLine="2693" w:firstLineChars="958"/>
        <w:contextualSpacing/>
        <w:rPr>
          <w:rFonts w:hint="eastAsia" w:ascii="Times New Roman" w:hAnsi="Times New Roman" w:cs="Times New Roman" w:eastAsiaTheme="minorEastAsia"/>
          <w:b/>
          <w:bCs/>
          <w:color w:val="auto"/>
          <w:sz w:val="28"/>
          <w:szCs w:val="28"/>
          <w:lang w:eastAsia="zh-CN"/>
        </w:rPr>
      </w:pPr>
      <w:r>
        <w:rPr>
          <w:rFonts w:ascii="Times New Roman" w:hAnsi="Times New Roman" w:cs="Times New Roman" w:eastAsiaTheme="minorEastAsia"/>
          <w:b/>
          <w:bCs/>
          <w:color w:val="auto"/>
          <w:sz w:val="28"/>
          <w:szCs w:val="28"/>
          <w:lang w:val="zh-TW" w:eastAsia="zh-TW"/>
        </w:rPr>
        <w:t xml:space="preserve">版 </w:t>
      </w:r>
      <w:r>
        <w:rPr>
          <w:rFonts w:ascii="Times New Roman" w:hAnsi="Times New Roman" w:cs="Times New Roman" w:eastAsiaTheme="minorEastAsia"/>
          <w:b/>
          <w:bCs/>
          <w:color w:val="auto"/>
          <w:sz w:val="28"/>
          <w:szCs w:val="28"/>
        </w:rPr>
        <w:t xml:space="preserve"> </w:t>
      </w:r>
      <w:r>
        <w:rPr>
          <w:rFonts w:ascii="Times New Roman" w:hAnsi="Times New Roman" w:cs="Times New Roman" w:eastAsiaTheme="minorEastAsia"/>
          <w:b/>
          <w:bCs/>
          <w:color w:val="auto"/>
          <w:sz w:val="28"/>
          <w:szCs w:val="28"/>
          <w:lang w:val="zh-TW" w:eastAsia="zh-TW"/>
        </w:rPr>
        <w:t xml:space="preserve">本 </w:t>
      </w:r>
      <w:r>
        <w:rPr>
          <w:rFonts w:ascii="Times New Roman" w:hAnsi="Times New Roman" w:cs="Times New Roman" w:eastAsiaTheme="minorEastAsia"/>
          <w:b/>
          <w:bCs/>
          <w:color w:val="auto"/>
          <w:sz w:val="28"/>
          <w:szCs w:val="28"/>
        </w:rPr>
        <w:t xml:space="preserve"> </w:t>
      </w:r>
      <w:r>
        <w:rPr>
          <w:rFonts w:ascii="Times New Roman" w:hAnsi="Times New Roman" w:cs="Times New Roman" w:eastAsiaTheme="minorEastAsia"/>
          <w:b/>
          <w:bCs/>
          <w:color w:val="auto"/>
          <w:sz w:val="28"/>
          <w:szCs w:val="28"/>
          <w:lang w:val="zh-TW" w:eastAsia="zh-TW"/>
        </w:rPr>
        <w:t>号：</w:t>
      </w:r>
      <w:r>
        <w:rPr>
          <w:rFonts w:hint="eastAsia" w:ascii="Times New Roman" w:hAnsi="Times New Roman" w:cs="Times New Roman" w:eastAsiaTheme="minorEastAsia"/>
          <w:b/>
          <w:bCs/>
          <w:color w:val="auto"/>
          <w:sz w:val="28"/>
          <w:szCs w:val="28"/>
          <w:lang w:val="zh-TW"/>
        </w:rPr>
        <w:t>V0.</w:t>
      </w:r>
      <w:r>
        <w:rPr>
          <w:rFonts w:hint="eastAsia" w:ascii="Times New Roman" w:hAnsi="Times New Roman" w:cs="Times New Roman" w:eastAsiaTheme="minorEastAsia"/>
          <w:b/>
          <w:bCs/>
          <w:color w:val="auto"/>
          <w:sz w:val="28"/>
          <w:szCs w:val="28"/>
          <w:lang w:val="en-US" w:eastAsia="zh-CN"/>
        </w:rPr>
        <w:t>1</w:t>
      </w:r>
    </w:p>
    <w:p>
      <w:pPr>
        <w:pStyle w:val="3"/>
        <w:autoSpaceDE w:val="0"/>
        <w:autoSpaceDN w:val="0"/>
        <w:adjustRightInd w:val="0"/>
        <w:ind w:left="0" w:firstLine="2693" w:firstLineChars="958"/>
        <w:contextualSpacing/>
        <w:rPr>
          <w:rFonts w:ascii="Times New Roman" w:hAnsi="Times New Roman" w:cs="Times New Roman" w:eastAsiaTheme="minorEastAsia"/>
          <w:b/>
          <w:bCs/>
          <w:color w:val="auto"/>
          <w:sz w:val="28"/>
          <w:szCs w:val="28"/>
        </w:rPr>
      </w:pPr>
      <w:r>
        <w:rPr>
          <w:rFonts w:ascii="Times New Roman" w:hAnsi="Times New Roman" w:cs="Times New Roman" w:eastAsiaTheme="minorEastAsia"/>
          <w:b/>
          <w:bCs/>
          <w:color w:val="auto"/>
          <w:sz w:val="28"/>
          <w:szCs w:val="28"/>
          <w:lang w:val="zh-TW" w:eastAsia="zh-TW"/>
        </w:rPr>
        <w:t>版本日期：</w:t>
      </w:r>
      <w:r>
        <w:rPr>
          <w:rFonts w:hint="eastAsia" w:ascii="Times New Roman" w:hAnsi="Times New Roman" w:cs="Times New Roman" w:eastAsiaTheme="minorEastAsia"/>
          <w:b/>
          <w:bCs/>
          <w:color w:val="auto"/>
          <w:sz w:val="28"/>
          <w:szCs w:val="28"/>
          <w:lang w:val="zh-TW"/>
        </w:rPr>
        <w:t>2019</w:t>
      </w:r>
      <w:r>
        <w:rPr>
          <w:rFonts w:hint="eastAsia" w:ascii="Times New Roman" w:hAnsi="Times New Roman" w:cs="Times New Roman" w:eastAsiaTheme="minorEastAsia"/>
          <w:b/>
          <w:bCs/>
          <w:color w:val="auto"/>
          <w:sz w:val="28"/>
          <w:szCs w:val="28"/>
        </w:rPr>
        <w:t>/</w:t>
      </w:r>
      <w:r>
        <w:rPr>
          <w:rFonts w:hint="eastAsia" w:ascii="Times New Roman" w:hAnsi="Times New Roman" w:cs="Times New Roman" w:eastAsiaTheme="minorEastAsia"/>
          <w:b/>
          <w:bCs/>
          <w:color w:val="auto"/>
          <w:sz w:val="28"/>
          <w:szCs w:val="28"/>
          <w:lang w:val="zh-TW"/>
        </w:rPr>
        <w:t>01</w:t>
      </w:r>
      <w:r>
        <w:rPr>
          <w:rFonts w:hint="eastAsia" w:ascii="Times New Roman" w:hAnsi="Times New Roman" w:cs="Times New Roman" w:eastAsiaTheme="minorEastAsia"/>
          <w:b/>
          <w:bCs/>
          <w:color w:val="auto"/>
          <w:sz w:val="28"/>
          <w:szCs w:val="28"/>
        </w:rPr>
        <w:t>/</w:t>
      </w:r>
      <w:r>
        <w:rPr>
          <w:rFonts w:hint="eastAsia" w:ascii="Times New Roman" w:hAnsi="Times New Roman" w:cs="Times New Roman" w:eastAsiaTheme="minorEastAsia"/>
          <w:b/>
          <w:bCs/>
          <w:color w:val="auto"/>
          <w:sz w:val="28"/>
          <w:szCs w:val="28"/>
          <w:lang w:val="zh-TW"/>
        </w:rPr>
        <w:t>0</w:t>
      </w:r>
      <w:r>
        <w:rPr>
          <w:rFonts w:hint="eastAsia" w:ascii="Times New Roman" w:hAnsi="Times New Roman" w:cs="Times New Roman" w:eastAsiaTheme="minorEastAsia"/>
          <w:b/>
          <w:bCs/>
          <w:color w:val="auto"/>
          <w:sz w:val="28"/>
          <w:szCs w:val="28"/>
        </w:rPr>
        <w:t>8</w:t>
      </w:r>
    </w:p>
    <w:p>
      <w:pPr>
        <w:pStyle w:val="3"/>
        <w:autoSpaceDE w:val="0"/>
        <w:autoSpaceDN w:val="0"/>
        <w:adjustRightInd w:val="0"/>
        <w:ind w:left="0" w:firstLine="0"/>
        <w:contextualSpacing/>
        <w:jc w:val="left"/>
        <w:rPr>
          <w:rFonts w:ascii="Times New Roman" w:hAnsi="Times New Roman" w:cs="Times New Roman" w:eastAsiaTheme="minorEastAsia"/>
          <w:b/>
          <w:bCs/>
          <w:color w:val="auto"/>
          <w:sz w:val="28"/>
          <w:szCs w:val="28"/>
        </w:rPr>
      </w:pPr>
    </w:p>
    <w:p>
      <w:pPr>
        <w:pStyle w:val="3"/>
        <w:autoSpaceDE w:val="0"/>
        <w:autoSpaceDN w:val="0"/>
        <w:adjustRightInd w:val="0"/>
        <w:ind w:left="0" w:firstLine="1560" w:firstLineChars="555"/>
        <w:contextualSpacing/>
        <w:jc w:val="left"/>
        <w:rPr>
          <w:rFonts w:ascii="Times New Roman" w:hAnsi="Times New Roman" w:cs="Times New Roman" w:eastAsiaTheme="minorEastAsia"/>
          <w:b/>
          <w:bCs/>
          <w:color w:val="auto"/>
          <w:sz w:val="28"/>
          <w:szCs w:val="28"/>
          <w:lang w:val="zh-TW"/>
        </w:rPr>
      </w:pPr>
      <w:r>
        <w:rPr>
          <w:rFonts w:ascii="Times New Roman" w:hAnsi="Times New Roman" w:cs="Times New Roman" w:eastAsiaTheme="minorEastAsia"/>
          <w:b/>
          <w:bCs/>
          <w:color w:val="auto"/>
          <w:sz w:val="28"/>
          <w:szCs w:val="28"/>
          <w:lang w:val="zh-TW" w:eastAsia="zh-TW"/>
        </w:rPr>
        <w:t>申  办  单  位：</w:t>
      </w:r>
      <w:r>
        <w:rPr>
          <w:rFonts w:ascii="Times New Roman" w:hAnsi="Times New Roman" w:cs="Times New Roman" w:eastAsiaTheme="minorEastAsia"/>
          <w:b/>
          <w:bCs/>
          <w:color w:val="auto"/>
          <w:sz w:val="28"/>
          <w:szCs w:val="28"/>
          <w:lang w:val="zh-TW"/>
        </w:rPr>
        <w:fldChar w:fldCharType="begin"/>
      </w:r>
      <w:r>
        <w:rPr>
          <w:rFonts w:ascii="Times New Roman" w:hAnsi="Times New Roman" w:cs="Times New Roman" w:eastAsiaTheme="minorEastAsia"/>
          <w:b/>
          <w:bCs/>
          <w:color w:val="auto"/>
          <w:sz w:val="28"/>
          <w:szCs w:val="28"/>
          <w:lang w:val="zh-TW"/>
        </w:rPr>
        <w:instrText xml:space="preserve"> MERGEFIELD T申办方 </w:instrText>
      </w:r>
      <w:r>
        <w:rPr>
          <w:rFonts w:ascii="Times New Roman" w:hAnsi="Times New Roman" w:cs="Times New Roman" w:eastAsiaTheme="minorEastAsia"/>
          <w:b/>
          <w:bCs/>
          <w:color w:val="auto"/>
          <w:sz w:val="28"/>
          <w:szCs w:val="28"/>
          <w:lang w:val="zh-TW"/>
        </w:rPr>
        <w:fldChar w:fldCharType="separate"/>
      </w:r>
      <w:r>
        <w:rPr>
          <w:rFonts w:hint="eastAsia" w:ascii="Times New Roman" w:hAnsi="Times New Roman" w:cs="Times New Roman" w:eastAsiaTheme="minorEastAsia"/>
          <w:b/>
          <w:bCs/>
          <w:sz w:val="28"/>
          <w:szCs w:val="28"/>
          <w:lang w:val="zh-TW" w:eastAsia="zh-CN"/>
        </w:rPr>
        <w:t>XXXXXX</w:t>
      </w:r>
      <w:r>
        <w:rPr>
          <w:rFonts w:ascii="Times New Roman" w:hAnsi="Times New Roman" w:cs="Times New Roman" w:eastAsiaTheme="minorEastAsia"/>
          <w:b/>
          <w:bCs/>
          <w:color w:val="auto"/>
          <w:sz w:val="28"/>
          <w:szCs w:val="28"/>
          <w:lang w:val="zh-TW"/>
        </w:rPr>
        <w:fldChar w:fldCharType="end"/>
      </w:r>
    </w:p>
    <w:p>
      <w:pPr>
        <w:pStyle w:val="3"/>
        <w:autoSpaceDE w:val="0"/>
        <w:autoSpaceDN w:val="0"/>
        <w:adjustRightInd w:val="0"/>
        <w:ind w:left="0" w:firstLine="1560" w:firstLineChars="555"/>
        <w:contextualSpacing/>
        <w:jc w:val="left"/>
        <w:rPr>
          <w:rFonts w:ascii="Times New Roman" w:hAnsi="Times New Roman" w:cs="Times New Roman" w:eastAsiaTheme="minorEastAsia"/>
          <w:b/>
          <w:bCs/>
          <w:color w:val="auto"/>
          <w:sz w:val="28"/>
          <w:szCs w:val="28"/>
          <w:lang w:val="zh-TW"/>
        </w:rPr>
      </w:pPr>
      <w:r>
        <w:rPr>
          <w:rFonts w:ascii="Times New Roman" w:hAnsi="Times New Roman" w:cs="Times New Roman" w:eastAsiaTheme="minorEastAsia"/>
          <w:b/>
          <w:bCs/>
          <w:color w:val="auto"/>
          <w:sz w:val="28"/>
          <w:szCs w:val="28"/>
          <w:lang w:val="zh-TW" w:eastAsia="zh-TW"/>
        </w:rPr>
        <w:t>临床试验机构：</w:t>
      </w:r>
      <w:r>
        <w:rPr>
          <w:rFonts w:hint="eastAsia" w:ascii="Times New Roman" w:hAnsi="Times New Roman" w:cs="Times New Roman" w:eastAsiaTheme="minorEastAsia"/>
          <w:b/>
          <w:bCs/>
          <w:color w:val="auto"/>
          <w:sz w:val="28"/>
          <w:szCs w:val="28"/>
          <w:lang w:val="zh-TW"/>
        </w:rPr>
        <w:t>广州市番禺区中心医院</w:t>
      </w:r>
    </w:p>
    <w:p>
      <w:pPr>
        <w:pStyle w:val="3"/>
        <w:autoSpaceDE w:val="0"/>
        <w:autoSpaceDN w:val="0"/>
        <w:adjustRightInd w:val="0"/>
        <w:ind w:left="0" w:firstLine="1560" w:firstLineChars="555"/>
        <w:contextualSpacing/>
        <w:jc w:val="left"/>
        <w:rPr>
          <w:rFonts w:hint="eastAsia" w:ascii="Times New Roman" w:hAnsi="Times New Roman" w:cs="Times New Roman" w:eastAsiaTheme="minorEastAsia"/>
          <w:b/>
          <w:bCs/>
          <w:color w:val="auto"/>
          <w:sz w:val="28"/>
          <w:szCs w:val="28"/>
          <w:lang w:eastAsia="zh-CN"/>
        </w:rPr>
      </w:pPr>
      <w:r>
        <w:rPr>
          <w:rFonts w:ascii="Times New Roman" w:hAnsi="Times New Roman" w:cs="Times New Roman" w:eastAsiaTheme="minorEastAsia"/>
          <w:b/>
          <w:bCs/>
          <w:color w:val="auto"/>
          <w:sz w:val="28"/>
          <w:szCs w:val="28"/>
          <w:lang w:val="zh-TW" w:eastAsia="zh-TW"/>
        </w:rPr>
        <w:t>合同研究组织：</w:t>
      </w:r>
      <w:r>
        <w:rPr>
          <w:rFonts w:hint="eastAsia" w:ascii="Times New Roman" w:hAnsi="Times New Roman" w:cs="Times New Roman" w:eastAsiaTheme="minorEastAsia"/>
          <w:b/>
          <w:bCs/>
          <w:color w:val="auto"/>
          <w:sz w:val="28"/>
          <w:szCs w:val="28"/>
          <w:lang w:eastAsia="zh-CN"/>
        </w:rPr>
        <w:t>XXXXXX</w:t>
      </w:r>
    </w:p>
    <w:p>
      <w:pPr>
        <w:pStyle w:val="3"/>
        <w:autoSpaceDE w:val="0"/>
        <w:autoSpaceDN w:val="0"/>
        <w:adjustRightInd w:val="0"/>
        <w:ind w:left="0" w:firstLine="1560" w:firstLineChars="555"/>
        <w:contextualSpacing/>
        <w:jc w:val="left"/>
        <w:rPr>
          <w:rFonts w:hint="eastAsia" w:ascii="Times New Roman" w:hAnsi="Times New Roman" w:cs="Times New Roman" w:eastAsiaTheme="minorEastAsia"/>
          <w:b/>
          <w:bCs/>
          <w:color w:val="auto"/>
          <w:sz w:val="28"/>
          <w:szCs w:val="28"/>
          <w:lang w:eastAsia="zh-CN"/>
        </w:rPr>
      </w:pPr>
      <w:r>
        <w:rPr>
          <w:rFonts w:ascii="Times New Roman" w:hAnsi="Times New Roman" w:cs="Times New Roman" w:eastAsiaTheme="minorEastAsia"/>
          <w:b/>
          <w:bCs/>
          <w:color w:val="auto"/>
          <w:sz w:val="28"/>
          <w:szCs w:val="28"/>
          <w:lang w:val="zh-TW" w:eastAsia="zh-TW"/>
        </w:rPr>
        <w:t>生物样本分析单位：</w:t>
      </w:r>
      <w:r>
        <w:rPr>
          <w:rFonts w:hint="eastAsia" w:ascii="Times New Roman" w:hAnsi="Times New Roman" w:eastAsia="宋体" w:cs="Times New Roman"/>
          <w:b/>
          <w:bCs/>
          <w:color w:val="auto"/>
          <w:sz w:val="28"/>
          <w:szCs w:val="28"/>
          <w:lang w:val="zh-TW" w:eastAsia="zh-CN"/>
        </w:rPr>
        <w:t>XXXXXX</w:t>
      </w:r>
    </w:p>
    <w:p>
      <w:pPr>
        <w:pStyle w:val="3"/>
        <w:autoSpaceDE w:val="0"/>
        <w:autoSpaceDN w:val="0"/>
        <w:adjustRightInd w:val="0"/>
        <w:ind w:hangingChars="256"/>
        <w:contextualSpacing/>
        <w:jc w:val="left"/>
        <w:rPr>
          <w:rFonts w:hint="eastAsia" w:ascii="Times New Roman" w:hAnsi="Times New Roman" w:cs="Times New Roman" w:eastAsiaTheme="minorEastAsia"/>
          <w:b/>
          <w:bCs/>
          <w:color w:val="auto"/>
          <w:sz w:val="28"/>
          <w:szCs w:val="28"/>
          <w:lang w:eastAsia="zh-CN"/>
        </w:rPr>
      </w:pPr>
      <w:r>
        <w:rPr>
          <w:rFonts w:hint="eastAsia" w:ascii="Times New Roman" w:hAnsi="Times New Roman" w:cs="Times New Roman" w:eastAsiaTheme="minorEastAsia"/>
          <w:b/>
          <w:bCs/>
          <w:color w:val="auto"/>
          <w:sz w:val="28"/>
          <w:szCs w:val="28"/>
        </w:rPr>
        <w:t xml:space="preserve">                      数据管理和统计分析单位：</w:t>
      </w:r>
      <w:r>
        <w:rPr>
          <w:rFonts w:hint="eastAsia" w:ascii="Times New Roman" w:hAnsi="Times New Roman" w:cs="Times New Roman" w:eastAsiaTheme="minorEastAsia"/>
          <w:b/>
          <w:bCs/>
          <w:color w:val="auto"/>
          <w:sz w:val="28"/>
          <w:szCs w:val="28"/>
          <w:lang w:eastAsia="zh-CN"/>
        </w:rPr>
        <w:t>XXXXXX</w:t>
      </w:r>
    </w:p>
    <w:p>
      <w:pPr>
        <w:pStyle w:val="3"/>
        <w:autoSpaceDE w:val="0"/>
        <w:autoSpaceDN w:val="0"/>
        <w:adjustRightInd w:val="0"/>
        <w:ind w:hangingChars="256"/>
        <w:contextualSpacing/>
        <w:jc w:val="left"/>
        <w:rPr>
          <w:rFonts w:ascii="Times New Roman" w:hAnsi="Times New Roman" w:cs="Times New Roman" w:eastAsiaTheme="minorEastAsia"/>
          <w:b/>
          <w:bCs/>
          <w:color w:val="auto"/>
          <w:sz w:val="24"/>
          <w:szCs w:val="24"/>
        </w:rPr>
      </w:pPr>
      <w:r>
        <w:rPr>
          <w:rFonts w:hint="eastAsia" w:ascii="Times New Roman" w:hAnsi="Times New Roman" w:cs="Times New Roman" w:eastAsiaTheme="minorEastAsia"/>
          <w:b/>
          <w:bCs/>
          <w:color w:val="auto"/>
          <w:sz w:val="28"/>
          <w:szCs w:val="28"/>
        </w:rPr>
        <w:t xml:space="preserve">  </w:t>
      </w:r>
    </w:p>
    <w:tbl>
      <w:tblPr>
        <w:tblStyle w:val="27"/>
        <w:tblW w:w="8346" w:type="dxa"/>
        <w:tblInd w:w="3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42" w:hRule="atLeast"/>
        </w:trPr>
        <w:tc>
          <w:tcPr>
            <w:tcW w:w="834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autoSpaceDE w:val="0"/>
              <w:autoSpaceDN w:val="0"/>
              <w:adjustRightInd w:val="0"/>
              <w:ind w:left="0" w:firstLine="0"/>
              <w:contextualSpacing/>
              <w:jc w:val="center"/>
              <w:rPr>
                <w:rFonts w:eastAsiaTheme="minorEastAsia"/>
                <w:b/>
                <w:lang w:eastAsia="zh-CN"/>
              </w:rPr>
            </w:pPr>
            <w:r>
              <w:rPr>
                <w:rFonts w:eastAsiaTheme="minorEastAsia"/>
                <w:b/>
                <w:lang w:eastAsia="zh-CN"/>
              </w:rPr>
              <w:t>保密声明</w:t>
            </w:r>
          </w:p>
          <w:p>
            <w:pPr>
              <w:autoSpaceDE w:val="0"/>
              <w:autoSpaceDN w:val="0"/>
              <w:adjustRightInd w:val="0"/>
              <w:ind w:left="0" w:firstLine="420" w:firstLineChars="200"/>
              <w:contextualSpacing/>
              <w:rPr>
                <w:rFonts w:eastAsiaTheme="minorEastAsia"/>
                <w:lang w:eastAsia="zh-CN"/>
              </w:rPr>
            </w:pPr>
            <w:r>
              <w:rPr>
                <w:rFonts w:eastAsiaTheme="minorEastAsia"/>
                <w:sz w:val="21"/>
                <w:szCs w:val="21"/>
                <w:lang w:eastAsia="zh-CN"/>
              </w:rPr>
              <w:t>本方案中所包含的所有信息的所有权归</w:t>
            </w:r>
            <w:r>
              <w:rPr>
                <w:rFonts w:eastAsiaTheme="minorEastAsia"/>
                <w:sz w:val="21"/>
                <w:szCs w:val="21"/>
                <w:lang w:eastAsia="zh-CN"/>
              </w:rPr>
              <w:fldChar w:fldCharType="begin"/>
            </w:r>
            <w:r>
              <w:rPr>
                <w:rFonts w:eastAsiaTheme="minorEastAsia"/>
                <w:sz w:val="21"/>
                <w:szCs w:val="21"/>
                <w:lang w:eastAsia="zh-CN"/>
              </w:rPr>
              <w:instrText xml:space="preserve"> MERGEFIELD T申办方 </w:instrText>
            </w:r>
            <w:r>
              <w:rPr>
                <w:rFonts w:eastAsiaTheme="minorEastAsia"/>
                <w:sz w:val="21"/>
                <w:szCs w:val="21"/>
                <w:lang w:eastAsia="zh-CN"/>
              </w:rPr>
              <w:fldChar w:fldCharType="separate"/>
            </w:r>
            <w:r>
              <w:rPr>
                <w:rFonts w:hint="eastAsia" w:eastAsiaTheme="minorEastAsia"/>
                <w:sz w:val="21"/>
                <w:szCs w:val="21"/>
                <w:lang w:eastAsia="zh-CN"/>
              </w:rPr>
              <w:t>XXXXXX</w:t>
            </w:r>
            <w:r>
              <w:rPr>
                <w:rFonts w:eastAsiaTheme="minorEastAsia"/>
                <w:sz w:val="21"/>
                <w:szCs w:val="21"/>
                <w:lang w:eastAsia="zh-CN"/>
              </w:rPr>
              <w:fldChar w:fldCharType="end"/>
            </w:r>
            <w:r>
              <w:rPr>
                <w:rFonts w:eastAsiaTheme="minorEastAsia"/>
                <w:sz w:val="21"/>
                <w:szCs w:val="21"/>
                <w:lang w:eastAsia="zh-CN"/>
              </w:rPr>
              <w:t>，因此，仅提供给研究者、合作研究者、伦理委员会和监督管理部门等相关的医疗机构审阅。在未得到</w:t>
            </w:r>
            <w:r>
              <w:rPr>
                <w:rFonts w:hint="eastAsia" w:eastAsiaTheme="minorEastAsia"/>
                <w:sz w:val="21"/>
                <w:szCs w:val="21"/>
                <w:lang w:eastAsia="zh-CN"/>
              </w:rPr>
              <w:t>XXXXXX</w:t>
            </w:r>
            <w:r>
              <w:rPr>
                <w:rFonts w:eastAsiaTheme="minorEastAsia"/>
                <w:sz w:val="21"/>
                <w:szCs w:val="21"/>
                <w:lang w:eastAsia="zh-CN"/>
              </w:rPr>
              <w:t>书面的批准情况下，除了在与可能参加本研究的受试者签署知情同意书时，向其做必要的解释外，不得复制、传阅或以其他方式散布。</w:t>
            </w:r>
          </w:p>
        </w:tc>
      </w:tr>
    </w:tbl>
    <w:p>
      <w:pPr>
        <w:pStyle w:val="3"/>
        <w:autoSpaceDE w:val="0"/>
        <w:autoSpaceDN w:val="0"/>
        <w:adjustRightInd w:val="0"/>
        <w:spacing w:line="240" w:lineRule="auto"/>
        <w:ind w:left="0" w:firstLine="0"/>
        <w:contextualSpacing/>
        <w:jc w:val="center"/>
        <w:rPr>
          <w:rFonts w:ascii="Times New Roman" w:hAnsi="Times New Roman" w:cs="Times New Roman" w:eastAsiaTheme="minorEastAsia"/>
          <w:b/>
          <w:bCs/>
          <w:color w:val="auto"/>
          <w:sz w:val="28"/>
          <w:szCs w:val="28"/>
          <w:lang w:val="zh-TW"/>
        </w:rPr>
      </w:pPr>
    </w:p>
    <w:p>
      <w:pPr>
        <w:pStyle w:val="3"/>
        <w:autoSpaceDE w:val="0"/>
        <w:autoSpaceDN w:val="0"/>
        <w:adjustRightInd w:val="0"/>
        <w:ind w:left="0" w:firstLine="0"/>
        <w:contextualSpacing/>
        <w:jc w:val="left"/>
        <w:rPr>
          <w:rFonts w:ascii="Times New Roman" w:hAnsi="Times New Roman" w:cs="Times New Roman" w:eastAsiaTheme="minorEastAsia"/>
          <w:lang w:val="zh-TW"/>
        </w:rPr>
        <w:sectPr>
          <w:headerReference r:id="rId7" w:type="first"/>
          <w:footerReference r:id="rId10" w:type="first"/>
          <w:headerReference r:id="rId5" w:type="default"/>
          <w:footerReference r:id="rId8" w:type="default"/>
          <w:headerReference r:id="rId6" w:type="even"/>
          <w:footerReference r:id="rId9" w:type="even"/>
          <w:pgSz w:w="11900" w:h="16840"/>
          <w:pgMar w:top="1134" w:right="1134" w:bottom="1134" w:left="1418" w:header="992" w:footer="992" w:gutter="0"/>
          <w:pgNumType w:fmt="upperRoman" w:start="1"/>
          <w:cols w:space="720" w:num="1"/>
          <w:titlePg/>
          <w:docGrid w:type="lines" w:linePitch="326" w:charSpace="0"/>
        </w:sectPr>
      </w:pPr>
    </w:p>
    <w:p>
      <w:pPr>
        <w:pStyle w:val="3"/>
        <w:autoSpaceDE w:val="0"/>
        <w:autoSpaceDN w:val="0"/>
        <w:adjustRightInd w:val="0"/>
        <w:ind w:left="0" w:firstLine="0"/>
        <w:contextualSpacing/>
        <w:jc w:val="left"/>
        <w:rPr>
          <w:rFonts w:ascii="Times New Roman" w:hAnsi="Times New Roman" w:cs="Times New Roman" w:eastAsiaTheme="minorEastAsia"/>
          <w:b/>
          <w:bCs/>
          <w:color w:val="auto"/>
          <w:sz w:val="28"/>
          <w:szCs w:val="28"/>
          <w:lang w:val="zh-TW"/>
        </w:rPr>
      </w:pPr>
    </w:p>
    <w:p>
      <w:pPr>
        <w:pStyle w:val="3"/>
        <w:autoSpaceDE w:val="0"/>
        <w:autoSpaceDN w:val="0"/>
        <w:adjustRightInd w:val="0"/>
        <w:ind w:left="0" w:firstLine="0"/>
        <w:contextualSpacing/>
        <w:jc w:val="left"/>
        <w:rPr>
          <w:rFonts w:ascii="Times New Roman" w:hAnsi="Times New Roman" w:cs="Times New Roman" w:eastAsiaTheme="minorEastAsia"/>
          <w:b/>
          <w:bCs/>
          <w:color w:val="auto"/>
          <w:sz w:val="28"/>
          <w:szCs w:val="28"/>
          <w:lang w:val="zh-TW" w:eastAsia="zh-TW"/>
        </w:rPr>
      </w:pPr>
      <w:r>
        <w:rPr>
          <w:rFonts w:ascii="Times New Roman" w:hAnsi="Times New Roman" w:cs="Times New Roman" w:eastAsiaTheme="minorEastAsia"/>
          <w:b/>
          <w:bCs/>
          <w:color w:val="auto"/>
          <w:sz w:val="28"/>
          <w:szCs w:val="28"/>
          <w:lang w:val="zh-TW"/>
        </w:rPr>
        <w:t>声明及签字页</w:t>
      </w:r>
      <w:r>
        <w:rPr>
          <w:rFonts w:ascii="Times New Roman" w:hAnsi="Times New Roman" w:cs="Times New Roman" w:eastAsiaTheme="minorEastAsia"/>
          <w:b/>
          <w:bCs/>
          <w:color w:val="auto"/>
          <w:sz w:val="28"/>
          <w:szCs w:val="28"/>
        </w:rPr>
        <w:t xml:space="preserve">      申办方</w:t>
      </w:r>
    </w:p>
    <w:p>
      <w:pPr>
        <w:widowControl w:val="0"/>
        <w:autoSpaceDE w:val="0"/>
        <w:autoSpaceDN w:val="0"/>
        <w:adjustRightInd w:val="0"/>
        <w:ind w:left="0" w:firstLine="0"/>
        <w:contextualSpacing/>
        <w:rPr>
          <w:rFonts w:eastAsiaTheme="minorEastAsia"/>
          <w:lang w:eastAsia="zh-CN"/>
        </w:rPr>
      </w:pPr>
    </w:p>
    <w:p>
      <w:pPr>
        <w:widowControl w:val="0"/>
        <w:autoSpaceDE w:val="0"/>
        <w:autoSpaceDN w:val="0"/>
        <w:adjustRightInd w:val="0"/>
        <w:ind w:left="0" w:firstLine="480" w:firstLineChars="200"/>
        <w:contextualSpacing/>
        <w:rPr>
          <w:rFonts w:eastAsiaTheme="minorEastAsia"/>
          <w:lang w:eastAsia="zh-CN"/>
        </w:rPr>
      </w:pPr>
      <w:r>
        <w:rPr>
          <w:rFonts w:eastAsiaTheme="minorEastAsia"/>
          <w:lang w:eastAsia="zh-CN"/>
        </w:rPr>
        <w:t>我在此签名，表示已经阅读此方案，同意试验方案的内容，并将严格按照中国法律、《赫尔辛基宣言》、《药物临床试验质量管理规范》以及此研究方案履行</w:t>
      </w:r>
      <w:r>
        <w:rPr>
          <w:rFonts w:hint="eastAsia" w:eastAsiaTheme="minorEastAsia"/>
          <w:lang w:eastAsia="zh-CN"/>
        </w:rPr>
        <w:t>申办者</w:t>
      </w:r>
      <w:r>
        <w:rPr>
          <w:rFonts w:eastAsiaTheme="minorEastAsia"/>
          <w:lang w:eastAsia="zh-CN"/>
        </w:rPr>
        <w:t>相关的职责。我将向我公司所有参与本试验的临床项目团队提供此方案的复印件，并与他们讨论方案及相关资料，以确保他们完全了解此研究药物，了解如何进行本次</w:t>
      </w:r>
      <w:r>
        <w:rPr>
          <w:rFonts w:hint="eastAsia" w:eastAsiaTheme="minorEastAsia"/>
          <w:lang w:eastAsia="zh-CN"/>
        </w:rPr>
        <w:t>试验</w:t>
      </w:r>
      <w:r>
        <w:rPr>
          <w:rFonts w:eastAsiaTheme="minorEastAsia"/>
          <w:lang w:eastAsia="zh-CN"/>
        </w:rPr>
        <w:t>，并确保试验的开展按照方案执行。</w:t>
      </w:r>
    </w:p>
    <w:p>
      <w:pPr>
        <w:widowControl w:val="0"/>
        <w:autoSpaceDE w:val="0"/>
        <w:autoSpaceDN w:val="0"/>
        <w:adjustRightInd w:val="0"/>
        <w:ind w:left="0" w:firstLine="0"/>
        <w:contextualSpacing/>
        <w:textAlignment w:val="center"/>
        <w:rPr>
          <w:rFonts w:eastAsiaTheme="minorEastAsia"/>
          <w:sz w:val="21"/>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b/>
          <w:color w:val="000000"/>
          <w:lang w:eastAsia="zh-CN"/>
        </w:rPr>
      </w:pPr>
    </w:p>
    <w:p>
      <w:pPr>
        <w:widowControl w:val="0"/>
        <w:autoSpaceDE w:val="0"/>
        <w:autoSpaceDN w:val="0"/>
        <w:adjustRightInd w:val="0"/>
        <w:ind w:left="0" w:firstLine="0"/>
        <w:contextualSpacing/>
        <w:textAlignment w:val="center"/>
        <w:rPr>
          <w:rFonts w:eastAsiaTheme="minorEastAsia"/>
          <w:bCs/>
          <w:color w:val="000000"/>
          <w:lang w:eastAsia="zh-TW"/>
        </w:rPr>
      </w:pPr>
      <w:r>
        <w:rPr>
          <w:rFonts w:eastAsiaTheme="minorEastAsia"/>
          <w:bCs/>
          <w:color w:val="000000"/>
          <w:lang w:eastAsia="zh-CN"/>
        </w:rPr>
        <w:t>申办单位：</w:t>
      </w:r>
      <w:r>
        <w:rPr>
          <w:rFonts w:eastAsiaTheme="minorEastAsia"/>
          <w:color w:val="000000"/>
          <w:lang w:val="zh-TW" w:eastAsia="zh-CN"/>
        </w:rPr>
        <w:fldChar w:fldCharType="begin"/>
      </w:r>
      <w:r>
        <w:rPr>
          <w:rFonts w:eastAsiaTheme="minorEastAsia"/>
          <w:color w:val="000000"/>
          <w:lang w:val="zh-TW" w:eastAsia="zh-CN"/>
        </w:rPr>
        <w:instrText xml:space="preserve"> MERGEFIELD T申办方 </w:instrText>
      </w:r>
      <w:r>
        <w:rPr>
          <w:rFonts w:eastAsiaTheme="minorEastAsia"/>
          <w:color w:val="000000"/>
          <w:lang w:val="zh-TW" w:eastAsia="zh-CN"/>
        </w:rPr>
        <w:fldChar w:fldCharType="separate"/>
      </w:r>
      <w:r>
        <w:rPr>
          <w:rFonts w:hint="eastAsia" w:eastAsiaTheme="minorEastAsia"/>
          <w:color w:val="000000"/>
          <w:lang w:val="zh-TW" w:eastAsia="zh-CN"/>
        </w:rPr>
        <w:t>XXXXXX</w:t>
      </w:r>
      <w:r>
        <w:rPr>
          <w:rFonts w:eastAsiaTheme="minorEastAsia"/>
          <w:color w:val="000000"/>
          <w:lang w:val="zh-TW" w:eastAsia="zh-CN"/>
        </w:rPr>
        <w:fldChar w:fldCharType="end"/>
      </w:r>
    </w:p>
    <w:p>
      <w:pPr>
        <w:widowControl w:val="0"/>
        <w:autoSpaceDE w:val="0"/>
        <w:autoSpaceDN w:val="0"/>
        <w:adjustRightInd w:val="0"/>
        <w:ind w:left="0" w:firstLine="0"/>
        <w:contextualSpacing/>
        <w:textAlignment w:val="center"/>
        <w:rPr>
          <w:rFonts w:hint="default" w:eastAsiaTheme="minorEastAsia"/>
          <w:bCs/>
          <w:color w:val="000000"/>
          <w:lang w:val="en-US" w:eastAsia="zh-CN"/>
        </w:rPr>
      </w:pPr>
      <w:r>
        <w:rPr>
          <w:rFonts w:hint="eastAsia" w:eastAsiaTheme="minorEastAsia"/>
          <w:bCs/>
          <w:color w:val="000000"/>
          <w:lang w:eastAsia="zh-CN"/>
        </w:rPr>
        <w:t>项目</w:t>
      </w:r>
      <w:r>
        <w:rPr>
          <w:rFonts w:eastAsiaTheme="minorEastAsia"/>
          <w:bCs/>
          <w:color w:val="000000"/>
          <w:lang w:eastAsia="zh-CN"/>
        </w:rPr>
        <w:t>负责人（印刷体）：</w:t>
      </w:r>
      <w:r>
        <w:rPr>
          <w:rFonts w:hint="eastAsia" w:eastAsiaTheme="minorEastAsia"/>
          <w:bCs/>
          <w:color w:val="000000"/>
          <w:lang w:val="en-US" w:eastAsia="zh-CN"/>
        </w:rPr>
        <w:t>XXX</w:t>
      </w:r>
    </w:p>
    <w:p>
      <w:pPr>
        <w:widowControl w:val="0"/>
        <w:autoSpaceDE w:val="0"/>
        <w:autoSpaceDN w:val="0"/>
        <w:adjustRightInd w:val="0"/>
        <w:ind w:left="0" w:firstLine="0"/>
        <w:contextualSpacing/>
        <w:textAlignment w:val="center"/>
        <w:rPr>
          <w:rFonts w:eastAsiaTheme="minorEastAsia"/>
          <w:bCs/>
          <w:color w:val="000000"/>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lang w:eastAsia="zh-CN"/>
        </w:rPr>
        <w:t>签名：</w:t>
      </w:r>
      <w:r>
        <w:rPr>
          <w:rFonts w:eastAsiaTheme="minorEastAsia"/>
          <w:b/>
          <w:lang w:eastAsia="zh-CN"/>
        </w:rPr>
        <w:t>___________________________________</w:t>
      </w:r>
      <w:r>
        <w:rPr>
          <w:rFonts w:eastAsiaTheme="minorEastAsia"/>
          <w:b/>
          <w:lang w:eastAsia="zh-CN"/>
        </w:rPr>
        <w:tab/>
      </w:r>
      <w:r>
        <w:rPr>
          <w:rFonts w:eastAsiaTheme="minorEastAsia"/>
          <w:b/>
          <w:lang w:eastAsia="zh-CN"/>
        </w:rPr>
        <w:tab/>
      </w:r>
      <w:r>
        <w:rPr>
          <w:rFonts w:eastAsiaTheme="minorEastAsia"/>
          <w:b/>
          <w:lang w:eastAsia="zh-CN"/>
        </w:rPr>
        <w:t xml:space="preserve">  </w:t>
      </w:r>
      <w:r>
        <w:rPr>
          <w:rFonts w:eastAsiaTheme="minorEastAsia"/>
          <w:lang w:eastAsia="zh-CN"/>
        </w:rPr>
        <w:t>______年____月____日</w:t>
      </w:r>
    </w:p>
    <w:p>
      <w:pPr>
        <w:spacing w:line="240" w:lineRule="auto"/>
        <w:ind w:left="0" w:firstLine="0"/>
        <w:contextualSpacing/>
        <w:jc w:val="left"/>
        <w:rPr>
          <w:rFonts w:eastAsiaTheme="minorEastAsia"/>
          <w:bCs/>
          <w:lang w:eastAsia="zh-CN"/>
        </w:rPr>
      </w:pPr>
      <w:r>
        <w:rPr>
          <w:rFonts w:eastAsiaTheme="minorEastAsia"/>
          <w:bCs/>
          <w:lang w:eastAsia="zh-CN"/>
        </w:rPr>
        <w:br w:type="page"/>
      </w:r>
    </w:p>
    <w:p>
      <w:pPr>
        <w:pStyle w:val="3"/>
        <w:autoSpaceDE w:val="0"/>
        <w:autoSpaceDN w:val="0"/>
        <w:adjustRightInd w:val="0"/>
        <w:ind w:left="0" w:firstLine="0"/>
        <w:contextualSpacing/>
        <w:rPr>
          <w:rFonts w:ascii="Times New Roman" w:hAnsi="Times New Roman" w:cs="Times New Roman" w:eastAsiaTheme="minorEastAsia"/>
          <w:b/>
          <w:bCs/>
          <w:color w:val="auto"/>
          <w:sz w:val="28"/>
          <w:szCs w:val="28"/>
          <w:lang w:val="zh-TW"/>
        </w:rPr>
      </w:pPr>
    </w:p>
    <w:p>
      <w:pPr>
        <w:pStyle w:val="3"/>
        <w:autoSpaceDE w:val="0"/>
        <w:autoSpaceDN w:val="0"/>
        <w:adjustRightInd w:val="0"/>
        <w:ind w:left="0" w:firstLine="0"/>
        <w:contextualSpacing/>
        <w:jc w:val="left"/>
        <w:rPr>
          <w:rFonts w:ascii="Times New Roman" w:hAnsi="Times New Roman" w:cs="Times New Roman" w:eastAsiaTheme="minorEastAsia"/>
          <w:b/>
          <w:bCs/>
          <w:color w:val="auto"/>
          <w:sz w:val="28"/>
          <w:szCs w:val="28"/>
          <w:lang w:val="zh-TW" w:eastAsia="zh-TW"/>
        </w:rPr>
      </w:pPr>
      <w:r>
        <w:rPr>
          <w:rFonts w:ascii="Times New Roman" w:hAnsi="Times New Roman" w:cs="Times New Roman" w:eastAsiaTheme="minorEastAsia"/>
          <w:b/>
          <w:bCs/>
          <w:color w:val="auto"/>
          <w:sz w:val="28"/>
          <w:szCs w:val="28"/>
          <w:lang w:val="zh-TW"/>
        </w:rPr>
        <w:t>声明及签字页</w:t>
      </w:r>
      <w:r>
        <w:rPr>
          <w:rFonts w:ascii="Times New Roman" w:hAnsi="Times New Roman" w:cs="Times New Roman" w:eastAsiaTheme="minorEastAsia"/>
          <w:b/>
          <w:bCs/>
          <w:color w:val="auto"/>
          <w:sz w:val="28"/>
          <w:szCs w:val="28"/>
        </w:rPr>
        <w:t xml:space="preserve">      主要研究者</w:t>
      </w:r>
    </w:p>
    <w:p>
      <w:pPr>
        <w:widowControl w:val="0"/>
        <w:autoSpaceDE w:val="0"/>
        <w:autoSpaceDN w:val="0"/>
        <w:adjustRightInd w:val="0"/>
        <w:ind w:left="0" w:firstLine="0"/>
        <w:contextualSpacing/>
        <w:rPr>
          <w:rFonts w:eastAsiaTheme="minorEastAsia"/>
          <w:lang w:eastAsia="zh-CN"/>
        </w:rPr>
      </w:pPr>
    </w:p>
    <w:p>
      <w:pPr>
        <w:widowControl w:val="0"/>
        <w:autoSpaceDE w:val="0"/>
        <w:autoSpaceDN w:val="0"/>
        <w:adjustRightInd w:val="0"/>
        <w:ind w:left="0" w:firstLine="480" w:firstLineChars="200"/>
        <w:contextualSpacing/>
        <w:rPr>
          <w:rFonts w:eastAsiaTheme="minorEastAsia"/>
          <w:lang w:eastAsia="zh-CN"/>
        </w:rPr>
      </w:pPr>
      <w:r>
        <w:rPr>
          <w:rFonts w:eastAsiaTheme="minorEastAsia"/>
          <w:lang w:eastAsia="zh-CN"/>
        </w:rPr>
        <w:t>我在此签名，表示已经阅读此方案，同意试验方案的内容，并将严格按照中国法律、《赫尔辛基宣言》、《药物临床试验质量管理规范》以及此研究方案履行</w:t>
      </w:r>
      <w:r>
        <w:rPr>
          <w:rFonts w:hint="eastAsia" w:eastAsiaTheme="minorEastAsia"/>
          <w:lang w:eastAsia="zh-CN"/>
        </w:rPr>
        <w:t>研究者</w:t>
      </w:r>
      <w:r>
        <w:rPr>
          <w:rFonts w:eastAsiaTheme="minorEastAsia"/>
          <w:lang w:eastAsia="zh-CN"/>
        </w:rPr>
        <w:t>相关的职责。我将向所有参与本试验的由我负责的研究人员提供此方案的复印件，并与他们讨论方案及相关资料，以确保他们完全了解此研究药物及如何进行本次</w:t>
      </w:r>
      <w:r>
        <w:rPr>
          <w:rFonts w:hint="eastAsia" w:eastAsiaTheme="minorEastAsia"/>
          <w:lang w:eastAsia="zh-CN"/>
        </w:rPr>
        <w:t>试验</w:t>
      </w:r>
      <w:r>
        <w:rPr>
          <w:rFonts w:eastAsiaTheme="minorEastAsia"/>
          <w:lang w:eastAsia="zh-CN"/>
        </w:rPr>
        <w:t>。</w:t>
      </w: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718" w:hanging="718" w:hangingChars="342"/>
        <w:contextualSpacing/>
        <w:rPr>
          <w:rFonts w:eastAsiaTheme="minorEastAsia"/>
          <w:sz w:val="21"/>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bCs/>
          <w:lang w:eastAsia="zh-CN"/>
        </w:rPr>
      </w:pPr>
      <w:r>
        <w:rPr>
          <w:rFonts w:eastAsiaTheme="minorEastAsia"/>
          <w:lang w:eastAsia="zh-CN"/>
        </w:rPr>
        <w:t>临床试验机构：</w:t>
      </w:r>
      <w:r>
        <w:rPr>
          <w:rFonts w:hint="eastAsia" w:eastAsiaTheme="minorEastAsia"/>
          <w:bCs/>
          <w:lang w:eastAsia="zh-CN"/>
        </w:rPr>
        <w:t>广州市番禺区中心医院</w:t>
      </w:r>
    </w:p>
    <w:p>
      <w:pPr>
        <w:widowControl w:val="0"/>
        <w:autoSpaceDE w:val="0"/>
        <w:autoSpaceDN w:val="0"/>
        <w:adjustRightInd w:val="0"/>
        <w:ind w:left="0" w:firstLine="0"/>
        <w:contextualSpacing/>
        <w:textAlignment w:val="center"/>
        <w:rPr>
          <w:rFonts w:hint="default" w:eastAsiaTheme="minorEastAsia"/>
          <w:lang w:val="en-US" w:eastAsia="zh-CN"/>
        </w:rPr>
      </w:pPr>
      <w:r>
        <w:rPr>
          <w:rFonts w:eastAsiaTheme="minorEastAsia"/>
          <w:bCs/>
          <w:lang w:eastAsia="zh-CN"/>
        </w:rPr>
        <w:t>主要研究者（印刷体）：</w:t>
      </w:r>
      <w:r>
        <w:rPr>
          <w:rFonts w:eastAsiaTheme="minorEastAsia"/>
          <w:lang w:eastAsia="zh-CN"/>
        </w:rPr>
        <w:t xml:space="preserve"> </w:t>
      </w:r>
      <w:r>
        <w:rPr>
          <w:rFonts w:hint="eastAsia" w:eastAsiaTheme="minorEastAsia"/>
          <w:lang w:val="en-US" w:eastAsia="zh-CN"/>
        </w:rPr>
        <w:t>XXX</w:t>
      </w:r>
    </w:p>
    <w:p>
      <w:pPr>
        <w:widowControl w:val="0"/>
        <w:autoSpaceDE w:val="0"/>
        <w:autoSpaceDN w:val="0"/>
        <w:adjustRightInd w:val="0"/>
        <w:ind w:left="0" w:firstLine="0"/>
        <w:contextualSpacing/>
        <w:textAlignment w:val="center"/>
        <w:rPr>
          <w:rFonts w:eastAsiaTheme="minorEastAsia"/>
          <w:b/>
          <w:lang w:eastAsia="zh-CN"/>
        </w:rPr>
      </w:pPr>
      <w:r>
        <w:rPr>
          <w:rFonts w:eastAsiaTheme="minorEastAsia"/>
          <w:lang w:eastAsia="zh-CN"/>
        </w:rPr>
        <w:t>签名：</w:t>
      </w:r>
      <w:r>
        <w:rPr>
          <w:rFonts w:eastAsiaTheme="minorEastAsia"/>
          <w:b/>
          <w:lang w:eastAsia="zh-CN"/>
        </w:rPr>
        <w:t>_______________________________</w:t>
      </w:r>
      <w:r>
        <w:rPr>
          <w:rFonts w:eastAsiaTheme="minorEastAsia"/>
          <w:b/>
          <w:lang w:eastAsia="zh-CN"/>
        </w:rPr>
        <w:tab/>
      </w:r>
      <w:r>
        <w:rPr>
          <w:rFonts w:eastAsiaTheme="minorEastAsia"/>
          <w:b/>
          <w:lang w:eastAsia="zh-CN"/>
        </w:rPr>
        <w:tab/>
      </w:r>
      <w:r>
        <w:rPr>
          <w:rFonts w:eastAsiaTheme="minorEastAsia"/>
          <w:b/>
          <w:lang w:eastAsia="zh-CN"/>
        </w:rPr>
        <w:t xml:space="preserve">  </w:t>
      </w:r>
      <w:r>
        <w:rPr>
          <w:rFonts w:eastAsiaTheme="minorEastAsia"/>
          <w:lang w:eastAsia="zh-CN"/>
        </w:rPr>
        <w:t>______年____月____日</w:t>
      </w:r>
    </w:p>
    <w:p>
      <w:pPr>
        <w:pStyle w:val="3"/>
        <w:autoSpaceDE w:val="0"/>
        <w:autoSpaceDN w:val="0"/>
        <w:adjustRightInd w:val="0"/>
        <w:ind w:left="0" w:firstLine="0"/>
        <w:contextualSpacing/>
        <w:jc w:val="left"/>
        <w:rPr>
          <w:rFonts w:ascii="Times New Roman" w:hAnsi="Times New Roman" w:cs="Times New Roman" w:eastAsiaTheme="minorEastAsia"/>
          <w:bCs/>
        </w:rPr>
      </w:pPr>
      <w:r>
        <w:rPr>
          <w:rFonts w:ascii="Times New Roman" w:hAnsi="Times New Roman" w:cs="Times New Roman" w:eastAsiaTheme="minorEastAsia"/>
          <w:bCs/>
        </w:rPr>
        <w:br w:type="page"/>
      </w:r>
    </w:p>
    <w:p>
      <w:pPr>
        <w:pStyle w:val="3"/>
        <w:autoSpaceDE w:val="0"/>
        <w:autoSpaceDN w:val="0"/>
        <w:adjustRightInd w:val="0"/>
        <w:ind w:left="0" w:firstLine="0"/>
        <w:contextualSpacing/>
        <w:jc w:val="left"/>
        <w:rPr>
          <w:rFonts w:ascii="Times New Roman" w:hAnsi="Times New Roman" w:cs="Times New Roman" w:eastAsiaTheme="minorEastAsia"/>
          <w:bCs/>
        </w:rPr>
      </w:pPr>
    </w:p>
    <w:p>
      <w:pPr>
        <w:pStyle w:val="3"/>
        <w:autoSpaceDE w:val="0"/>
        <w:autoSpaceDN w:val="0"/>
        <w:adjustRightInd w:val="0"/>
        <w:ind w:left="0" w:firstLine="0"/>
        <w:contextualSpacing/>
        <w:jc w:val="left"/>
        <w:rPr>
          <w:rFonts w:ascii="Times New Roman" w:hAnsi="Times New Roman" w:cs="Times New Roman" w:eastAsiaTheme="minorEastAsia"/>
          <w:b/>
          <w:bCs/>
          <w:color w:val="auto"/>
          <w:sz w:val="28"/>
          <w:szCs w:val="28"/>
          <w:lang w:val="zh-TW" w:eastAsia="zh-TW"/>
        </w:rPr>
      </w:pPr>
      <w:r>
        <w:rPr>
          <w:rFonts w:ascii="Times New Roman" w:hAnsi="Times New Roman" w:cs="Times New Roman" w:eastAsiaTheme="minorEastAsia"/>
          <w:b/>
          <w:sz w:val="28"/>
          <w:szCs w:val="28"/>
        </w:rPr>
        <w:t>声明及签字页      合同研究组织</w:t>
      </w:r>
    </w:p>
    <w:p>
      <w:pPr>
        <w:widowControl w:val="0"/>
        <w:autoSpaceDE w:val="0"/>
        <w:autoSpaceDN w:val="0"/>
        <w:adjustRightInd w:val="0"/>
        <w:ind w:left="0" w:firstLine="0"/>
        <w:contextualSpacing/>
        <w:rPr>
          <w:rFonts w:eastAsiaTheme="minorEastAsia"/>
          <w:lang w:eastAsia="zh-CN"/>
        </w:rPr>
      </w:pPr>
    </w:p>
    <w:p>
      <w:pPr>
        <w:widowControl w:val="0"/>
        <w:autoSpaceDE w:val="0"/>
        <w:autoSpaceDN w:val="0"/>
        <w:adjustRightInd w:val="0"/>
        <w:ind w:left="0" w:firstLine="480" w:firstLineChars="200"/>
        <w:contextualSpacing/>
        <w:rPr>
          <w:rFonts w:eastAsiaTheme="minorEastAsia"/>
          <w:lang w:eastAsia="zh-CN"/>
        </w:rPr>
      </w:pPr>
      <w:r>
        <w:rPr>
          <w:rFonts w:eastAsiaTheme="minorEastAsia"/>
          <w:lang w:eastAsia="zh-CN"/>
        </w:rPr>
        <w:t>我在此签名，表示已经阅读此方案，同意试验方案的内容，并将严格按照中国法律、《赫尔辛基宣言》、《药物临床试验质量管理规范》以及此研究方案履行本试验的临床监</w:t>
      </w:r>
      <w:r>
        <w:rPr>
          <w:rFonts w:hint="eastAsia" w:eastAsiaTheme="minorEastAsia"/>
          <w:lang w:eastAsia="zh-CN"/>
        </w:rPr>
        <w:t>查</w:t>
      </w:r>
      <w:r>
        <w:rPr>
          <w:rFonts w:eastAsiaTheme="minorEastAsia"/>
          <w:lang w:eastAsia="zh-CN"/>
        </w:rPr>
        <w:t>工作。按保密要求保存好</w:t>
      </w:r>
      <w:r>
        <w:rPr>
          <w:rFonts w:eastAsiaTheme="minorEastAsia"/>
          <w:bCs/>
          <w:lang w:eastAsia="zh-CN"/>
        </w:rPr>
        <w:fldChar w:fldCharType="begin"/>
      </w:r>
      <w:r>
        <w:rPr>
          <w:rFonts w:eastAsiaTheme="minorEastAsia"/>
          <w:bCs/>
          <w:lang w:eastAsia="zh-CN"/>
        </w:rPr>
        <w:instrText xml:space="preserve"> MERGEFIELD T申办方 </w:instrText>
      </w:r>
      <w:r>
        <w:rPr>
          <w:rFonts w:eastAsiaTheme="minorEastAsia"/>
          <w:bCs/>
          <w:lang w:eastAsia="zh-CN"/>
        </w:rPr>
        <w:fldChar w:fldCharType="separate"/>
      </w:r>
      <w:r>
        <w:rPr>
          <w:rFonts w:hint="eastAsia" w:eastAsiaTheme="minorEastAsia"/>
          <w:bCs/>
          <w:lang w:eastAsia="zh-CN"/>
        </w:rPr>
        <w:t>XXXXXX</w:t>
      </w:r>
      <w:r>
        <w:rPr>
          <w:rFonts w:eastAsiaTheme="minorEastAsia"/>
          <w:bCs/>
          <w:lang w:eastAsia="zh-CN"/>
        </w:rPr>
        <w:fldChar w:fldCharType="end"/>
      </w:r>
      <w:r>
        <w:rPr>
          <w:rFonts w:eastAsiaTheme="minorEastAsia"/>
          <w:lang w:eastAsia="zh-CN"/>
        </w:rPr>
        <w:t>提供的所有资料信息，当这些资料信息要向独立伦理委员会（IEC）提交时，必须标明这些资料是保密的。</w:t>
      </w:r>
    </w:p>
    <w:p>
      <w:pPr>
        <w:pStyle w:val="3"/>
        <w:autoSpaceDE w:val="0"/>
        <w:autoSpaceDN w:val="0"/>
        <w:adjustRightInd w:val="0"/>
        <w:ind w:left="0" w:firstLine="0"/>
        <w:contextualSpacing/>
        <w:rPr>
          <w:rFonts w:ascii="Times New Roman" w:hAnsi="Times New Roman" w:cs="Times New Roman" w:eastAsiaTheme="minorEastAsia"/>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b/>
          <w:color w:val="000000"/>
          <w:lang w:eastAsia="zh-CN"/>
        </w:rPr>
      </w:pPr>
    </w:p>
    <w:p>
      <w:pPr>
        <w:widowControl w:val="0"/>
        <w:autoSpaceDE w:val="0"/>
        <w:autoSpaceDN w:val="0"/>
        <w:adjustRightInd w:val="0"/>
        <w:ind w:left="0" w:firstLine="0"/>
        <w:contextualSpacing/>
        <w:textAlignment w:val="center"/>
        <w:rPr>
          <w:rFonts w:eastAsiaTheme="minorEastAsia"/>
          <w:bCs/>
          <w:color w:val="000000"/>
          <w:lang w:eastAsia="zh-CN"/>
        </w:rPr>
      </w:pPr>
      <w:r>
        <w:rPr>
          <w:rFonts w:eastAsiaTheme="minorEastAsia"/>
          <w:bCs/>
          <w:color w:val="000000"/>
          <w:lang w:eastAsia="zh-CN"/>
        </w:rPr>
        <w:t>合同研究组织</w:t>
      </w:r>
      <w:r>
        <w:rPr>
          <w:rFonts w:hint="eastAsia" w:eastAsiaTheme="minorEastAsia"/>
          <w:lang w:eastAsia="zh-CN"/>
        </w:rPr>
        <w:t>：</w:t>
      </w:r>
      <w:r>
        <w:rPr>
          <w:rFonts w:hint="eastAsia" w:eastAsiaTheme="minorEastAsia"/>
          <w:color w:val="000000"/>
          <w:lang w:val="zh-TW" w:eastAsia="zh-CN"/>
        </w:rPr>
        <w:t>XXXXXX</w:t>
      </w:r>
    </w:p>
    <w:p>
      <w:pPr>
        <w:widowControl w:val="0"/>
        <w:autoSpaceDE w:val="0"/>
        <w:autoSpaceDN w:val="0"/>
        <w:adjustRightInd w:val="0"/>
        <w:ind w:left="0" w:firstLine="0"/>
        <w:contextualSpacing/>
        <w:textAlignment w:val="center"/>
        <w:rPr>
          <w:rFonts w:hint="default" w:eastAsiaTheme="minorEastAsia"/>
          <w:bCs/>
          <w:lang w:val="en-US" w:eastAsia="zh-CN"/>
        </w:rPr>
      </w:pPr>
      <w:r>
        <w:rPr>
          <w:rFonts w:hint="eastAsia" w:eastAsiaTheme="minorEastAsia"/>
          <w:bCs/>
          <w:color w:val="000000"/>
          <w:lang w:eastAsia="zh-CN"/>
        </w:rPr>
        <w:t>项目</w:t>
      </w:r>
      <w:r>
        <w:rPr>
          <w:rFonts w:eastAsiaTheme="minorEastAsia"/>
          <w:bCs/>
          <w:color w:val="000000"/>
          <w:lang w:eastAsia="zh-CN"/>
        </w:rPr>
        <w:t>负责人(印刷体)</w:t>
      </w:r>
      <w:r>
        <w:rPr>
          <w:rFonts w:hint="eastAsia" w:eastAsiaTheme="minorEastAsia"/>
          <w:bCs/>
          <w:lang w:eastAsia="zh-CN"/>
        </w:rPr>
        <w:t>：</w:t>
      </w:r>
      <w:r>
        <w:rPr>
          <w:rFonts w:hint="eastAsia" w:eastAsiaTheme="minorEastAsia"/>
          <w:bCs/>
          <w:lang w:val="en-US" w:eastAsia="zh-CN"/>
        </w:rPr>
        <w:t>XXX</w:t>
      </w:r>
    </w:p>
    <w:p>
      <w:pPr>
        <w:widowControl w:val="0"/>
        <w:autoSpaceDE w:val="0"/>
        <w:autoSpaceDN w:val="0"/>
        <w:adjustRightInd w:val="0"/>
        <w:ind w:left="0" w:firstLine="0"/>
        <w:contextualSpacing/>
        <w:textAlignment w:val="center"/>
        <w:rPr>
          <w:rFonts w:eastAsiaTheme="minorEastAsia"/>
          <w:bCs/>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lang w:eastAsia="zh-CN"/>
        </w:rPr>
        <w:t>签名：</w:t>
      </w:r>
      <w:r>
        <w:rPr>
          <w:rFonts w:eastAsiaTheme="minorEastAsia"/>
          <w:b/>
          <w:lang w:eastAsia="zh-CN"/>
        </w:rPr>
        <w:t>___________________________________</w:t>
      </w:r>
      <w:r>
        <w:rPr>
          <w:rFonts w:eastAsiaTheme="minorEastAsia"/>
          <w:b/>
          <w:lang w:eastAsia="zh-CN"/>
        </w:rPr>
        <w:tab/>
      </w:r>
      <w:r>
        <w:rPr>
          <w:rFonts w:eastAsiaTheme="minorEastAsia"/>
          <w:b/>
          <w:lang w:eastAsia="zh-CN"/>
        </w:rPr>
        <w:tab/>
      </w:r>
      <w:r>
        <w:rPr>
          <w:rFonts w:eastAsiaTheme="minorEastAsia"/>
          <w:b/>
          <w:lang w:eastAsia="zh-CN"/>
        </w:rPr>
        <w:t xml:space="preserve">  </w:t>
      </w:r>
      <w:r>
        <w:rPr>
          <w:rFonts w:eastAsiaTheme="minorEastAsia"/>
          <w:lang w:eastAsia="zh-CN"/>
        </w:rPr>
        <w:t>______年____月____日</w:t>
      </w:r>
    </w:p>
    <w:p>
      <w:pPr>
        <w:widowControl w:val="0"/>
        <w:autoSpaceDE w:val="0"/>
        <w:autoSpaceDN w:val="0"/>
        <w:adjustRightInd w:val="0"/>
        <w:ind w:left="0" w:firstLine="0"/>
        <w:contextualSpacing/>
        <w:jc w:val="center"/>
        <w:textAlignment w:val="center"/>
        <w:rPr>
          <w:rFonts w:eastAsiaTheme="minorEastAsia"/>
          <w:bCs/>
          <w:lang w:eastAsia="zh-CN"/>
        </w:rPr>
      </w:pPr>
      <w:r>
        <w:rPr>
          <w:rFonts w:eastAsiaTheme="minorEastAsia"/>
          <w:bCs/>
          <w:lang w:eastAsia="zh-CN"/>
        </w:rPr>
        <w:br w:type="page"/>
      </w:r>
    </w:p>
    <w:p>
      <w:pPr>
        <w:widowControl w:val="0"/>
        <w:autoSpaceDE w:val="0"/>
        <w:autoSpaceDN w:val="0"/>
        <w:adjustRightInd w:val="0"/>
        <w:ind w:left="0" w:firstLine="0"/>
        <w:contextualSpacing/>
        <w:jc w:val="left"/>
        <w:textAlignment w:val="center"/>
        <w:rPr>
          <w:rFonts w:eastAsiaTheme="minorEastAsia"/>
          <w:b/>
          <w:bCs/>
          <w:sz w:val="28"/>
          <w:szCs w:val="28"/>
          <w:lang w:val="zh-TW" w:eastAsia="zh-CN"/>
        </w:rPr>
      </w:pPr>
    </w:p>
    <w:p>
      <w:pPr>
        <w:widowControl w:val="0"/>
        <w:autoSpaceDE w:val="0"/>
        <w:autoSpaceDN w:val="0"/>
        <w:adjustRightInd w:val="0"/>
        <w:ind w:left="0" w:firstLine="0"/>
        <w:contextualSpacing/>
        <w:jc w:val="left"/>
        <w:textAlignment w:val="center"/>
        <w:rPr>
          <w:rFonts w:eastAsiaTheme="minorEastAsia"/>
          <w:b/>
          <w:bCs/>
          <w:sz w:val="28"/>
          <w:szCs w:val="28"/>
          <w:lang w:val="zh-TW" w:eastAsia="zh-TW"/>
        </w:rPr>
      </w:pPr>
      <w:r>
        <w:rPr>
          <w:rFonts w:eastAsiaTheme="minorEastAsia"/>
          <w:b/>
          <w:bCs/>
          <w:sz w:val="28"/>
          <w:szCs w:val="28"/>
          <w:lang w:val="zh-TW" w:eastAsia="zh-CN"/>
        </w:rPr>
        <w:t>声明及签字页</w:t>
      </w:r>
      <w:r>
        <w:rPr>
          <w:rFonts w:eastAsiaTheme="minorEastAsia"/>
          <w:b/>
          <w:bCs/>
          <w:sz w:val="28"/>
          <w:szCs w:val="28"/>
          <w:lang w:eastAsia="zh-CN"/>
        </w:rPr>
        <w:t xml:space="preserve">      生物样品分析单位</w:t>
      </w:r>
    </w:p>
    <w:p>
      <w:pPr>
        <w:widowControl w:val="0"/>
        <w:autoSpaceDE w:val="0"/>
        <w:autoSpaceDN w:val="0"/>
        <w:adjustRightInd w:val="0"/>
        <w:ind w:left="0" w:firstLine="0"/>
        <w:contextualSpacing/>
        <w:rPr>
          <w:rFonts w:eastAsiaTheme="minorEastAsia"/>
          <w:lang w:eastAsia="zh-CN"/>
        </w:rPr>
      </w:pPr>
    </w:p>
    <w:p>
      <w:pPr>
        <w:widowControl w:val="0"/>
        <w:autoSpaceDE w:val="0"/>
        <w:autoSpaceDN w:val="0"/>
        <w:adjustRightInd w:val="0"/>
        <w:ind w:left="0" w:firstLine="480" w:firstLineChars="200"/>
        <w:contextualSpacing/>
        <w:rPr>
          <w:rFonts w:eastAsiaTheme="minorEastAsia"/>
          <w:lang w:eastAsia="zh-CN"/>
        </w:rPr>
      </w:pPr>
      <w:r>
        <w:rPr>
          <w:rFonts w:eastAsiaTheme="minorEastAsia"/>
          <w:lang w:eastAsia="zh-CN"/>
        </w:rPr>
        <w:t>我在此签名，表示已经阅读此方案，同意试验方案的内容，并将严格按照中国法律、《赫尔辛基宣言》、《药物临床试验质量管理规范》以及此研究方案履行相关的职责。我将向我公司所有参与本试验样本分析及数据处理的相关人员提供此方案的复印件，并要求完全按照本方案执行，进行样本分析及数据处理，确保试验数据的真实性及准确性。</w:t>
      </w:r>
    </w:p>
    <w:p>
      <w:pPr>
        <w:widowControl w:val="0"/>
        <w:autoSpaceDE w:val="0"/>
        <w:autoSpaceDN w:val="0"/>
        <w:adjustRightInd w:val="0"/>
        <w:ind w:left="0" w:firstLine="0"/>
        <w:contextualSpacing/>
        <w:textAlignment w:val="center"/>
        <w:rPr>
          <w:rFonts w:eastAsiaTheme="minorEastAsia"/>
          <w:sz w:val="21"/>
          <w:lang w:eastAsia="zh-CN"/>
        </w:rPr>
      </w:pPr>
    </w:p>
    <w:p>
      <w:pPr>
        <w:widowControl w:val="0"/>
        <w:autoSpaceDE w:val="0"/>
        <w:autoSpaceDN w:val="0"/>
        <w:adjustRightInd w:val="0"/>
        <w:ind w:left="0" w:firstLine="0"/>
        <w:contextualSpacing/>
        <w:textAlignment w:val="center"/>
        <w:rPr>
          <w:rFonts w:eastAsiaTheme="minorEastAsia"/>
          <w:bCs/>
          <w:lang w:eastAsia="zh-CN"/>
        </w:rPr>
      </w:pPr>
    </w:p>
    <w:p>
      <w:pPr>
        <w:widowControl w:val="0"/>
        <w:autoSpaceDE w:val="0"/>
        <w:autoSpaceDN w:val="0"/>
        <w:adjustRightInd w:val="0"/>
        <w:ind w:left="0" w:firstLine="0"/>
        <w:contextualSpacing/>
        <w:textAlignment w:val="center"/>
        <w:rPr>
          <w:rFonts w:eastAsiaTheme="minorEastAsia"/>
          <w:bCs/>
          <w:color w:val="000000"/>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bCs/>
          <w:color w:val="000000"/>
          <w:lang w:eastAsia="zh-CN"/>
        </w:rPr>
        <w:t>生物样本分析单位：</w:t>
      </w:r>
      <w:r>
        <w:rPr>
          <w:rFonts w:hint="eastAsia" w:eastAsiaTheme="minorEastAsia"/>
          <w:lang w:eastAsia="zh-CN"/>
        </w:rPr>
        <w:t>XXXXXX</w:t>
      </w:r>
    </w:p>
    <w:p>
      <w:pPr>
        <w:widowControl w:val="0"/>
        <w:autoSpaceDE w:val="0"/>
        <w:autoSpaceDN w:val="0"/>
        <w:adjustRightInd w:val="0"/>
        <w:ind w:left="0" w:firstLine="0"/>
        <w:contextualSpacing/>
        <w:textAlignment w:val="center"/>
        <w:rPr>
          <w:rFonts w:hint="default" w:eastAsiaTheme="minorEastAsia"/>
          <w:bCs/>
          <w:color w:val="000000"/>
          <w:highlight w:val="none"/>
          <w:lang w:val="en-US" w:eastAsia="zh-CN"/>
        </w:rPr>
      </w:pPr>
      <w:r>
        <w:rPr>
          <w:rFonts w:hint="eastAsia" w:eastAsiaTheme="minorEastAsia"/>
          <w:bCs/>
          <w:color w:val="000000"/>
          <w:highlight w:val="none"/>
          <w:lang w:eastAsia="zh-CN"/>
        </w:rPr>
        <w:t>项目</w:t>
      </w:r>
      <w:r>
        <w:rPr>
          <w:rFonts w:eastAsiaTheme="minorEastAsia"/>
          <w:bCs/>
          <w:color w:val="000000"/>
          <w:highlight w:val="none"/>
          <w:lang w:eastAsia="zh-CN"/>
        </w:rPr>
        <w:t>负责人（印刷体）：</w:t>
      </w:r>
      <w:r>
        <w:rPr>
          <w:rFonts w:hint="eastAsia" w:eastAsiaTheme="minorEastAsia"/>
          <w:bCs/>
          <w:color w:val="000000"/>
          <w:highlight w:val="none"/>
          <w:lang w:val="en-US" w:eastAsia="zh-CN"/>
        </w:rPr>
        <w:t>XXX</w:t>
      </w:r>
    </w:p>
    <w:p>
      <w:pPr>
        <w:widowControl w:val="0"/>
        <w:autoSpaceDE w:val="0"/>
        <w:autoSpaceDN w:val="0"/>
        <w:adjustRightInd w:val="0"/>
        <w:ind w:left="0" w:firstLine="0"/>
        <w:contextualSpacing/>
        <w:textAlignment w:val="center"/>
        <w:rPr>
          <w:rFonts w:eastAsiaTheme="minorEastAsia"/>
          <w:bCs/>
          <w:color w:val="000000"/>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lang w:eastAsia="zh-CN"/>
        </w:rPr>
        <w:t>签名：</w:t>
      </w:r>
      <w:r>
        <w:rPr>
          <w:rFonts w:eastAsiaTheme="minorEastAsia"/>
          <w:b/>
          <w:lang w:eastAsia="zh-CN"/>
        </w:rPr>
        <w:t>________________________________</w:t>
      </w:r>
      <w:r>
        <w:rPr>
          <w:rFonts w:eastAsiaTheme="minorEastAsia"/>
          <w:b/>
          <w:lang w:eastAsia="zh-CN"/>
        </w:rPr>
        <w:tab/>
      </w:r>
      <w:r>
        <w:rPr>
          <w:rFonts w:eastAsiaTheme="minorEastAsia"/>
          <w:b/>
          <w:lang w:eastAsia="zh-CN"/>
        </w:rPr>
        <w:tab/>
      </w:r>
      <w:r>
        <w:rPr>
          <w:rFonts w:eastAsiaTheme="minorEastAsia"/>
          <w:b/>
          <w:lang w:eastAsia="zh-CN"/>
        </w:rPr>
        <w:t xml:space="preserve">  </w:t>
      </w:r>
      <w:r>
        <w:rPr>
          <w:rFonts w:eastAsiaTheme="minorEastAsia"/>
          <w:lang w:eastAsia="zh-CN"/>
        </w:rPr>
        <w:t>______年____月____日</w:t>
      </w: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jc w:val="left"/>
        <w:textAlignment w:val="center"/>
        <w:rPr>
          <w:rFonts w:eastAsiaTheme="minorEastAsia"/>
          <w:b/>
          <w:bCs/>
          <w:sz w:val="28"/>
          <w:szCs w:val="28"/>
          <w:lang w:eastAsia="zh-TW"/>
        </w:rPr>
      </w:pPr>
      <w:r>
        <w:rPr>
          <w:rFonts w:eastAsiaTheme="minorEastAsia"/>
          <w:b/>
          <w:bCs/>
          <w:sz w:val="28"/>
          <w:szCs w:val="28"/>
          <w:lang w:val="zh-TW" w:eastAsia="zh-CN"/>
        </w:rPr>
        <w:t>声明及签字页</w:t>
      </w:r>
      <w:r>
        <w:rPr>
          <w:rFonts w:eastAsiaTheme="minorEastAsia"/>
          <w:b/>
          <w:bCs/>
          <w:sz w:val="28"/>
          <w:szCs w:val="28"/>
          <w:lang w:eastAsia="zh-CN"/>
        </w:rPr>
        <w:t xml:space="preserve">     </w:t>
      </w:r>
      <w:r>
        <w:rPr>
          <w:rFonts w:hint="eastAsia" w:eastAsiaTheme="minorEastAsia"/>
          <w:b/>
          <w:bCs/>
          <w:sz w:val="28"/>
          <w:szCs w:val="28"/>
          <w:lang w:eastAsia="zh-CN"/>
        </w:rPr>
        <w:t>数据管理和统计分析单位</w:t>
      </w:r>
    </w:p>
    <w:p>
      <w:pPr>
        <w:widowControl w:val="0"/>
        <w:autoSpaceDE w:val="0"/>
        <w:autoSpaceDN w:val="0"/>
        <w:adjustRightInd w:val="0"/>
        <w:ind w:left="0" w:firstLine="0"/>
        <w:contextualSpacing/>
        <w:rPr>
          <w:rFonts w:eastAsiaTheme="minorEastAsia"/>
          <w:lang w:eastAsia="zh-CN"/>
        </w:rPr>
      </w:pPr>
    </w:p>
    <w:p>
      <w:pPr>
        <w:widowControl w:val="0"/>
        <w:autoSpaceDE w:val="0"/>
        <w:autoSpaceDN w:val="0"/>
        <w:adjustRightInd w:val="0"/>
        <w:ind w:left="0" w:firstLine="480" w:firstLineChars="200"/>
        <w:contextualSpacing/>
        <w:rPr>
          <w:rFonts w:eastAsiaTheme="minorEastAsia"/>
          <w:lang w:eastAsia="zh-CN"/>
        </w:rPr>
      </w:pPr>
      <w:r>
        <w:rPr>
          <w:rFonts w:eastAsiaTheme="minorEastAsia"/>
          <w:lang w:eastAsia="zh-CN"/>
        </w:rPr>
        <w:t>我在此签名，表示已经阅读此方案，同意试验方案的内容，并将严格按照中国法律、《赫尔辛基宣言》、《药物临床试验质量管理规范》以及此研究方案履行相关的职责。我将向我公司所有参与本试验</w:t>
      </w:r>
      <w:r>
        <w:rPr>
          <w:rFonts w:hint="eastAsia" w:eastAsiaTheme="minorEastAsia"/>
          <w:lang w:eastAsia="zh-CN"/>
        </w:rPr>
        <w:t>数据管理和统计分析</w:t>
      </w:r>
      <w:r>
        <w:rPr>
          <w:rFonts w:eastAsiaTheme="minorEastAsia"/>
          <w:lang w:eastAsia="zh-CN"/>
        </w:rPr>
        <w:t>的相关人员提供此方案的复印件，并要求完全按照本方案执行，进行</w:t>
      </w:r>
      <w:r>
        <w:rPr>
          <w:rFonts w:hint="eastAsia" w:eastAsiaTheme="minorEastAsia"/>
          <w:lang w:eastAsia="zh-CN"/>
        </w:rPr>
        <w:t>数据管理和统计分析</w:t>
      </w:r>
      <w:r>
        <w:rPr>
          <w:rFonts w:eastAsiaTheme="minorEastAsia"/>
          <w:lang w:eastAsia="zh-CN"/>
        </w:rPr>
        <w:t>。</w:t>
      </w:r>
    </w:p>
    <w:p>
      <w:pPr>
        <w:widowControl w:val="0"/>
        <w:autoSpaceDE w:val="0"/>
        <w:autoSpaceDN w:val="0"/>
        <w:adjustRightInd w:val="0"/>
        <w:ind w:left="0" w:firstLine="0"/>
        <w:contextualSpacing/>
        <w:textAlignment w:val="center"/>
        <w:rPr>
          <w:rFonts w:eastAsiaTheme="minorEastAsia"/>
          <w:sz w:val="21"/>
          <w:lang w:eastAsia="zh-CN"/>
        </w:rPr>
      </w:pPr>
    </w:p>
    <w:p>
      <w:pPr>
        <w:widowControl w:val="0"/>
        <w:autoSpaceDE w:val="0"/>
        <w:autoSpaceDN w:val="0"/>
        <w:adjustRightInd w:val="0"/>
        <w:ind w:left="0" w:firstLine="0"/>
        <w:contextualSpacing/>
        <w:textAlignment w:val="center"/>
        <w:rPr>
          <w:rFonts w:eastAsiaTheme="minorEastAsia"/>
          <w:bCs/>
          <w:lang w:eastAsia="zh-CN"/>
        </w:rPr>
      </w:pPr>
    </w:p>
    <w:p>
      <w:pPr>
        <w:widowControl w:val="0"/>
        <w:autoSpaceDE w:val="0"/>
        <w:autoSpaceDN w:val="0"/>
        <w:adjustRightInd w:val="0"/>
        <w:ind w:left="0" w:firstLine="0"/>
        <w:contextualSpacing/>
        <w:textAlignment w:val="center"/>
        <w:rPr>
          <w:rFonts w:eastAsiaTheme="minorEastAsia"/>
          <w:bCs/>
          <w:color w:val="000000"/>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bCs/>
          <w:color w:val="000000"/>
          <w:lang w:eastAsia="zh-CN"/>
        </w:rPr>
        <w:t>生物样本分析单位：</w:t>
      </w:r>
      <w:r>
        <w:rPr>
          <w:rFonts w:hint="eastAsia" w:eastAsiaTheme="minorEastAsia"/>
          <w:lang w:eastAsia="zh-CN"/>
        </w:rPr>
        <w:t>XXXXXX</w:t>
      </w:r>
    </w:p>
    <w:p>
      <w:pPr>
        <w:widowControl w:val="0"/>
        <w:autoSpaceDE w:val="0"/>
        <w:autoSpaceDN w:val="0"/>
        <w:adjustRightInd w:val="0"/>
        <w:ind w:left="0" w:firstLine="0"/>
        <w:contextualSpacing/>
        <w:textAlignment w:val="center"/>
        <w:rPr>
          <w:rFonts w:hint="default" w:eastAsiaTheme="minorEastAsia"/>
          <w:bCs/>
          <w:color w:val="000000"/>
          <w:lang w:val="en-US" w:eastAsia="zh-CN"/>
        </w:rPr>
      </w:pPr>
      <w:r>
        <w:rPr>
          <w:rFonts w:hint="eastAsia" w:eastAsiaTheme="minorEastAsia"/>
          <w:bCs/>
          <w:color w:val="000000"/>
          <w:lang w:eastAsia="zh-CN"/>
        </w:rPr>
        <w:t>项目</w:t>
      </w:r>
      <w:r>
        <w:rPr>
          <w:rFonts w:eastAsiaTheme="minorEastAsia"/>
          <w:bCs/>
          <w:color w:val="000000"/>
          <w:lang w:eastAsia="zh-CN"/>
        </w:rPr>
        <w:t>负责人（印刷体）：</w:t>
      </w:r>
      <w:r>
        <w:rPr>
          <w:rFonts w:hint="eastAsia" w:eastAsiaTheme="minorEastAsia"/>
          <w:bCs/>
          <w:color w:val="000000"/>
          <w:lang w:val="en-US" w:eastAsia="zh-CN"/>
        </w:rPr>
        <w:t>XXX</w:t>
      </w:r>
    </w:p>
    <w:p>
      <w:pPr>
        <w:widowControl w:val="0"/>
        <w:autoSpaceDE w:val="0"/>
        <w:autoSpaceDN w:val="0"/>
        <w:adjustRightInd w:val="0"/>
        <w:ind w:left="0" w:firstLine="0"/>
        <w:contextualSpacing/>
        <w:textAlignment w:val="center"/>
        <w:rPr>
          <w:rFonts w:eastAsiaTheme="minorEastAsia"/>
          <w:bCs/>
          <w:color w:val="000000"/>
          <w:lang w:eastAsia="zh-CN"/>
        </w:rPr>
      </w:pPr>
    </w:p>
    <w:p>
      <w:pPr>
        <w:widowControl w:val="0"/>
        <w:autoSpaceDE w:val="0"/>
        <w:autoSpaceDN w:val="0"/>
        <w:adjustRightInd w:val="0"/>
        <w:ind w:left="0" w:firstLine="0"/>
        <w:contextualSpacing/>
        <w:textAlignment w:val="center"/>
        <w:rPr>
          <w:rFonts w:eastAsiaTheme="minorEastAsia"/>
          <w:lang w:eastAsia="zh-CN"/>
        </w:rPr>
      </w:pPr>
      <w:r>
        <w:rPr>
          <w:rFonts w:eastAsiaTheme="minorEastAsia"/>
          <w:lang w:eastAsia="zh-CN"/>
        </w:rPr>
        <w:t>签名：</w:t>
      </w:r>
      <w:r>
        <w:rPr>
          <w:rFonts w:eastAsiaTheme="minorEastAsia"/>
          <w:b/>
          <w:lang w:eastAsia="zh-CN"/>
        </w:rPr>
        <w:t>________________________________</w:t>
      </w:r>
      <w:r>
        <w:rPr>
          <w:rFonts w:eastAsiaTheme="minorEastAsia"/>
          <w:b/>
          <w:lang w:eastAsia="zh-CN"/>
        </w:rPr>
        <w:tab/>
      </w:r>
      <w:r>
        <w:rPr>
          <w:rFonts w:eastAsiaTheme="minorEastAsia"/>
          <w:b/>
          <w:lang w:eastAsia="zh-CN"/>
        </w:rPr>
        <w:tab/>
      </w:r>
      <w:r>
        <w:rPr>
          <w:rFonts w:eastAsiaTheme="minorEastAsia"/>
          <w:b/>
          <w:lang w:eastAsia="zh-CN"/>
        </w:rPr>
        <w:t xml:space="preserve">  </w:t>
      </w:r>
      <w:r>
        <w:rPr>
          <w:rFonts w:eastAsiaTheme="minorEastAsia"/>
          <w:lang w:eastAsia="zh-CN"/>
        </w:rPr>
        <w:t>______年____月____日</w:t>
      </w:r>
    </w:p>
    <w:p>
      <w:pPr>
        <w:widowControl w:val="0"/>
        <w:autoSpaceDE w:val="0"/>
        <w:autoSpaceDN w:val="0"/>
        <w:adjustRightInd w:val="0"/>
        <w:ind w:left="0" w:firstLine="0"/>
        <w:contextualSpacing/>
        <w:textAlignment w:val="center"/>
        <w:rPr>
          <w:rFonts w:eastAsiaTheme="minorEastAsia"/>
          <w:lang w:eastAsia="zh-CN"/>
        </w:rPr>
      </w:pPr>
    </w:p>
    <w:p>
      <w:pPr>
        <w:widowControl w:val="0"/>
        <w:autoSpaceDE w:val="0"/>
        <w:autoSpaceDN w:val="0"/>
        <w:adjustRightInd w:val="0"/>
        <w:ind w:left="0" w:firstLine="0"/>
        <w:contextualSpacing/>
        <w:textAlignment w:val="center"/>
        <w:rPr>
          <w:rFonts w:eastAsiaTheme="minorEastAsia"/>
          <w:lang w:eastAsia="zh-CN"/>
        </w:rPr>
      </w:pPr>
    </w:p>
    <w:p>
      <w:pPr>
        <w:spacing w:line="240" w:lineRule="auto"/>
        <w:ind w:left="0" w:firstLine="0"/>
        <w:contextualSpacing/>
        <w:jc w:val="left"/>
        <w:rPr>
          <w:rFonts w:eastAsiaTheme="minorEastAsia"/>
          <w:bCs/>
          <w:lang w:eastAsia="zh-CN"/>
        </w:rPr>
      </w:pPr>
      <w:r>
        <w:rPr>
          <w:rFonts w:eastAsiaTheme="minorEastAsia"/>
          <w:b/>
          <w:bCs/>
          <w:sz w:val="28"/>
          <w:szCs w:val="28"/>
          <w:lang w:val="zh-TW" w:eastAsia="zh-TW"/>
        </w:rPr>
        <w:br w:type="page"/>
      </w:r>
    </w:p>
    <w:p>
      <w:pPr>
        <w:widowControl w:val="0"/>
        <w:autoSpaceDE w:val="0"/>
        <w:autoSpaceDN w:val="0"/>
        <w:adjustRightInd w:val="0"/>
        <w:ind w:left="0" w:firstLine="0"/>
        <w:contextualSpacing/>
        <w:jc w:val="center"/>
        <w:textAlignment w:val="center"/>
        <w:rPr>
          <w:rFonts w:eastAsiaTheme="minorEastAsia"/>
          <w:b/>
          <w:bCs/>
          <w:sz w:val="30"/>
          <w:szCs w:val="30"/>
          <w:lang w:eastAsia="zh-CN"/>
        </w:rPr>
      </w:pPr>
      <w:r>
        <w:rPr>
          <w:rFonts w:eastAsiaTheme="minorEastAsia"/>
          <w:b/>
          <w:bCs/>
          <w:sz w:val="30"/>
          <w:szCs w:val="30"/>
          <w:lang w:eastAsia="zh-CN"/>
        </w:rPr>
        <w:t>各参与单位地址与联系方式</w:t>
      </w:r>
    </w:p>
    <w:p>
      <w:pPr>
        <w:widowControl w:val="0"/>
        <w:autoSpaceDE w:val="0"/>
        <w:autoSpaceDN w:val="0"/>
        <w:adjustRightInd w:val="0"/>
        <w:ind w:left="0" w:firstLine="0"/>
        <w:contextualSpacing/>
        <w:textAlignment w:val="center"/>
        <w:rPr>
          <w:rFonts w:eastAsiaTheme="minorEastAsia"/>
          <w:b/>
          <w:bCs/>
          <w:lang w:eastAsia="zh-CN"/>
        </w:rPr>
      </w:pPr>
      <w:r>
        <w:rPr>
          <w:rFonts w:eastAsiaTheme="minorEastAsia"/>
          <w:b/>
          <w:bCs/>
          <w:lang w:eastAsia="zh-CN"/>
        </w:rPr>
        <w:t>一、申办单位</w:t>
      </w:r>
    </w:p>
    <w:p>
      <w:pPr>
        <w:widowControl w:val="0"/>
        <w:autoSpaceDE w:val="0"/>
        <w:autoSpaceDN w:val="0"/>
        <w:adjustRightInd w:val="0"/>
        <w:ind w:left="0" w:firstLine="420"/>
        <w:contextualSpacing/>
        <w:textAlignment w:val="center"/>
        <w:rPr>
          <w:rFonts w:eastAsiaTheme="minorEastAsia"/>
          <w:bCs/>
          <w:lang w:eastAsia="zh-CN"/>
        </w:rPr>
      </w:pPr>
      <w:r>
        <w:rPr>
          <w:rFonts w:eastAsiaTheme="minorEastAsia"/>
          <w:bCs/>
          <w:lang w:eastAsia="zh-CN"/>
        </w:rPr>
        <w:t>公司名称：</w:t>
      </w:r>
      <w:r>
        <w:rPr>
          <w:rFonts w:eastAsiaTheme="minorEastAsia"/>
          <w:bCs/>
          <w:lang w:eastAsia="zh-CN"/>
        </w:rPr>
        <w:fldChar w:fldCharType="begin"/>
      </w:r>
      <w:r>
        <w:rPr>
          <w:rFonts w:eastAsiaTheme="minorEastAsia"/>
          <w:bCs/>
          <w:lang w:eastAsia="zh-CN"/>
        </w:rPr>
        <w:instrText xml:space="preserve"> MERGEFIELD T申办方 </w:instrText>
      </w:r>
      <w:r>
        <w:rPr>
          <w:rFonts w:eastAsiaTheme="minorEastAsia"/>
          <w:bCs/>
          <w:lang w:eastAsia="zh-CN"/>
        </w:rPr>
        <w:fldChar w:fldCharType="separate"/>
      </w:r>
      <w:r>
        <w:rPr>
          <w:rFonts w:hint="eastAsia" w:eastAsiaTheme="minorEastAsia"/>
          <w:bCs/>
          <w:lang w:eastAsia="zh-CN"/>
        </w:rPr>
        <w:t>XXXXXX</w:t>
      </w:r>
      <w:r>
        <w:rPr>
          <w:rFonts w:eastAsiaTheme="minorEastAsia"/>
          <w:bCs/>
          <w:lang w:eastAsia="zh-CN"/>
        </w:rPr>
        <w:fldChar w:fldCharType="end"/>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项目负责人：</w:t>
      </w:r>
      <w:r>
        <w:rPr>
          <w:rFonts w:hint="eastAsia" w:eastAsiaTheme="minorEastAsia"/>
          <w:bCs/>
          <w:lang w:val="en-US" w:eastAsia="zh-CN"/>
        </w:rPr>
        <w:t>XXX</w:t>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电话：</w:t>
      </w:r>
      <w:r>
        <w:rPr>
          <w:rFonts w:hint="eastAsia" w:eastAsiaTheme="minorEastAsia"/>
          <w:bCs/>
          <w:lang w:val="en-US" w:eastAsia="zh-CN"/>
        </w:rPr>
        <w:t>XXXXX</w:t>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联系地址：</w:t>
      </w:r>
      <w:r>
        <w:rPr>
          <w:rFonts w:hint="eastAsia" w:eastAsiaTheme="minorEastAsia"/>
          <w:bCs/>
          <w:lang w:val="en-US" w:eastAsia="zh-CN"/>
        </w:rPr>
        <w:t>XXXXXX</w:t>
      </w:r>
    </w:p>
    <w:p>
      <w:pPr>
        <w:widowControl w:val="0"/>
        <w:autoSpaceDE w:val="0"/>
        <w:autoSpaceDN w:val="0"/>
        <w:adjustRightInd w:val="0"/>
        <w:ind w:left="0" w:firstLine="0"/>
        <w:contextualSpacing/>
        <w:textAlignment w:val="center"/>
        <w:rPr>
          <w:rFonts w:eastAsiaTheme="minorEastAsia"/>
          <w:b/>
          <w:bCs/>
          <w:lang w:eastAsia="zh-CN"/>
        </w:rPr>
      </w:pPr>
      <w:r>
        <w:rPr>
          <w:rFonts w:eastAsiaTheme="minorEastAsia"/>
          <w:b/>
          <w:bCs/>
          <w:lang w:eastAsia="zh-CN"/>
        </w:rPr>
        <w:t>二、临床研究单位</w:t>
      </w:r>
    </w:p>
    <w:p>
      <w:pPr>
        <w:widowControl w:val="0"/>
        <w:autoSpaceDE w:val="0"/>
        <w:autoSpaceDN w:val="0"/>
        <w:adjustRightInd w:val="0"/>
        <w:ind w:left="0" w:firstLine="420"/>
        <w:contextualSpacing/>
        <w:textAlignment w:val="center"/>
        <w:rPr>
          <w:rFonts w:eastAsiaTheme="minorEastAsia"/>
          <w:bCs/>
          <w:lang w:eastAsia="zh-CN"/>
        </w:rPr>
      </w:pPr>
      <w:r>
        <w:rPr>
          <w:rFonts w:eastAsiaTheme="minorEastAsia"/>
          <w:bCs/>
          <w:lang w:eastAsia="zh-CN"/>
        </w:rPr>
        <w:t>机构名称：</w:t>
      </w:r>
      <w:r>
        <w:rPr>
          <w:rFonts w:hint="eastAsia" w:eastAsiaTheme="minorEastAsia"/>
          <w:bCs/>
          <w:lang w:eastAsia="zh-CN"/>
        </w:rPr>
        <w:t>广州市番禺区中心医院</w:t>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项目负责人：</w:t>
      </w:r>
      <w:r>
        <w:rPr>
          <w:rFonts w:hint="eastAsia" w:eastAsiaTheme="minorEastAsia"/>
          <w:bCs/>
          <w:lang w:val="en-US" w:eastAsia="zh-CN"/>
        </w:rPr>
        <w:t>XXX</w:t>
      </w:r>
    </w:p>
    <w:p>
      <w:pPr>
        <w:widowControl w:val="0"/>
        <w:autoSpaceDE w:val="0"/>
        <w:autoSpaceDN w:val="0"/>
        <w:adjustRightInd w:val="0"/>
        <w:ind w:left="0" w:firstLine="420"/>
        <w:contextualSpacing/>
        <w:textAlignment w:val="center"/>
        <w:rPr>
          <w:rFonts w:hint="eastAsia" w:eastAsiaTheme="minorEastAsia"/>
          <w:bCs/>
          <w:lang w:val="en-US" w:eastAsia="zh-CN"/>
        </w:rPr>
      </w:pPr>
      <w:r>
        <w:rPr>
          <w:rFonts w:eastAsiaTheme="minorEastAsia"/>
          <w:bCs/>
          <w:lang w:eastAsia="zh-CN"/>
        </w:rPr>
        <w:t>电话：</w:t>
      </w:r>
      <w:r>
        <w:rPr>
          <w:rFonts w:hint="eastAsia" w:eastAsiaTheme="minorEastAsia"/>
          <w:bCs/>
          <w:lang w:val="en-US" w:eastAsia="zh-CN"/>
        </w:rPr>
        <w:t>XXXXX</w:t>
      </w:r>
    </w:p>
    <w:p>
      <w:pPr>
        <w:widowControl w:val="0"/>
        <w:autoSpaceDE w:val="0"/>
        <w:autoSpaceDN w:val="0"/>
        <w:adjustRightInd w:val="0"/>
        <w:ind w:left="0" w:firstLine="420"/>
        <w:contextualSpacing/>
        <w:textAlignment w:val="center"/>
        <w:rPr>
          <w:rFonts w:eastAsiaTheme="minorEastAsia"/>
          <w:bCs/>
          <w:lang w:eastAsia="zh-CN"/>
        </w:rPr>
      </w:pPr>
      <w:r>
        <w:rPr>
          <w:rFonts w:eastAsiaTheme="minorEastAsia"/>
          <w:bCs/>
          <w:lang w:eastAsia="zh-CN"/>
        </w:rPr>
        <w:t>联系地址：</w:t>
      </w:r>
      <w:r>
        <w:rPr>
          <w:rFonts w:hint="eastAsia" w:eastAsiaTheme="minorEastAsia"/>
          <w:bCs/>
          <w:lang w:eastAsia="zh-CN"/>
        </w:rPr>
        <w:t>广州市番禺区桥南街福愉东路8号</w:t>
      </w:r>
    </w:p>
    <w:p>
      <w:pPr>
        <w:widowControl w:val="0"/>
        <w:autoSpaceDE w:val="0"/>
        <w:autoSpaceDN w:val="0"/>
        <w:adjustRightInd w:val="0"/>
        <w:ind w:left="0" w:firstLine="0"/>
        <w:contextualSpacing/>
        <w:textAlignment w:val="center"/>
        <w:rPr>
          <w:rFonts w:eastAsiaTheme="minorEastAsia"/>
          <w:b/>
          <w:bCs/>
          <w:lang w:eastAsia="zh-CN"/>
        </w:rPr>
      </w:pPr>
      <w:r>
        <w:rPr>
          <w:rFonts w:eastAsiaTheme="minorEastAsia"/>
          <w:b/>
          <w:bCs/>
          <w:lang w:eastAsia="zh-CN"/>
        </w:rPr>
        <w:t>三、合同研究组织</w:t>
      </w:r>
    </w:p>
    <w:p>
      <w:pPr>
        <w:widowControl w:val="0"/>
        <w:autoSpaceDE w:val="0"/>
        <w:autoSpaceDN w:val="0"/>
        <w:adjustRightInd w:val="0"/>
        <w:ind w:left="0" w:firstLine="420"/>
        <w:contextualSpacing/>
        <w:textAlignment w:val="center"/>
        <w:rPr>
          <w:rFonts w:eastAsiaTheme="minorEastAsia"/>
          <w:bCs/>
          <w:lang w:eastAsia="zh-CN"/>
        </w:rPr>
      </w:pPr>
      <w:r>
        <w:rPr>
          <w:rFonts w:eastAsiaTheme="minorEastAsia"/>
          <w:bCs/>
          <w:lang w:eastAsia="zh-CN"/>
        </w:rPr>
        <w:t>公司名称:</w:t>
      </w:r>
      <w:r>
        <w:rPr>
          <w:rFonts w:hint="eastAsia" w:eastAsiaTheme="minorEastAsia"/>
          <w:bCs/>
          <w:lang w:eastAsia="zh-CN"/>
        </w:rPr>
        <w:t>XXXXXX</w:t>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项目负责人</w:t>
      </w:r>
      <w:r>
        <w:rPr>
          <w:rFonts w:hint="eastAsia" w:eastAsiaTheme="minorEastAsia"/>
          <w:bCs/>
          <w:lang w:eastAsia="zh-CN"/>
        </w:rPr>
        <w:t>：</w:t>
      </w:r>
      <w:r>
        <w:rPr>
          <w:rFonts w:hint="eastAsia" w:eastAsiaTheme="minorEastAsia"/>
          <w:bCs/>
          <w:lang w:val="en-US" w:eastAsia="zh-CN"/>
        </w:rPr>
        <w:t>XXX</w:t>
      </w:r>
    </w:p>
    <w:p>
      <w:pPr>
        <w:widowControl w:val="0"/>
        <w:autoSpaceDE w:val="0"/>
        <w:autoSpaceDN w:val="0"/>
        <w:adjustRightInd w:val="0"/>
        <w:ind w:left="0" w:firstLine="420"/>
        <w:contextualSpacing/>
        <w:textAlignment w:val="center"/>
        <w:rPr>
          <w:rFonts w:hint="default" w:eastAsiaTheme="minorEastAsia"/>
          <w:bCs/>
          <w:color w:val="000000"/>
          <w:lang w:val="en-US" w:eastAsia="zh-CN"/>
        </w:rPr>
      </w:pPr>
      <w:r>
        <w:rPr>
          <w:rFonts w:eastAsiaTheme="minorEastAsia"/>
          <w:bCs/>
          <w:lang w:eastAsia="zh-CN"/>
        </w:rPr>
        <w:t>电话</w:t>
      </w:r>
      <w:r>
        <w:rPr>
          <w:rFonts w:hint="eastAsia" w:eastAsiaTheme="minorEastAsia"/>
          <w:bCs/>
          <w:lang w:eastAsia="zh-CN"/>
        </w:rPr>
        <w:t>：</w:t>
      </w:r>
      <w:r>
        <w:rPr>
          <w:rFonts w:hint="eastAsia" w:eastAsiaTheme="minorEastAsia"/>
          <w:bCs/>
          <w:color w:val="000000"/>
          <w:lang w:val="en-US" w:eastAsia="zh-CN"/>
        </w:rPr>
        <w:t>XXXXX</w:t>
      </w:r>
    </w:p>
    <w:p>
      <w:pPr>
        <w:widowControl w:val="0"/>
        <w:autoSpaceDE w:val="0"/>
        <w:autoSpaceDN w:val="0"/>
        <w:adjustRightInd w:val="0"/>
        <w:ind w:left="0" w:firstLine="420"/>
        <w:contextualSpacing/>
        <w:textAlignment w:val="center"/>
        <w:rPr>
          <w:rFonts w:hint="default" w:eastAsiaTheme="minorEastAsia"/>
          <w:bCs/>
          <w:lang w:val="en-US" w:eastAsia="zh-CN"/>
        </w:rPr>
      </w:pPr>
      <w:r>
        <w:rPr>
          <w:rFonts w:eastAsiaTheme="minorEastAsia"/>
          <w:bCs/>
          <w:lang w:eastAsia="zh-CN"/>
        </w:rPr>
        <w:t>联系地址：</w:t>
      </w:r>
      <w:r>
        <w:rPr>
          <w:rFonts w:hint="eastAsia" w:eastAsiaTheme="minorEastAsia"/>
          <w:bCs/>
          <w:lang w:val="en-US" w:eastAsia="zh-CN"/>
        </w:rPr>
        <w:t>XXXXX</w:t>
      </w:r>
    </w:p>
    <w:p>
      <w:pPr>
        <w:widowControl w:val="0"/>
        <w:autoSpaceDE w:val="0"/>
        <w:autoSpaceDN w:val="0"/>
        <w:adjustRightInd w:val="0"/>
        <w:ind w:left="0" w:firstLine="0"/>
        <w:contextualSpacing/>
        <w:textAlignment w:val="center"/>
        <w:rPr>
          <w:rFonts w:eastAsiaTheme="minorEastAsia"/>
          <w:b/>
          <w:bCs/>
          <w:lang w:eastAsia="zh-CN"/>
        </w:rPr>
      </w:pPr>
      <w:r>
        <w:rPr>
          <w:rFonts w:eastAsiaTheme="minorEastAsia"/>
          <w:b/>
          <w:bCs/>
          <w:lang w:eastAsia="zh-CN"/>
        </w:rPr>
        <w:t>四、生物样本分析单位</w:t>
      </w:r>
    </w:p>
    <w:p>
      <w:pPr>
        <w:widowControl w:val="0"/>
        <w:autoSpaceDE w:val="0"/>
        <w:autoSpaceDN w:val="0"/>
        <w:adjustRightInd w:val="0"/>
        <w:snapToGrid w:val="0"/>
        <w:ind w:left="0" w:firstLine="420"/>
        <w:textAlignment w:val="center"/>
        <w:rPr>
          <w:bCs/>
          <w:lang w:eastAsia="zh-CN"/>
        </w:rPr>
      </w:pPr>
      <w:r>
        <w:rPr>
          <w:bCs/>
          <w:lang w:eastAsia="zh-CN"/>
        </w:rPr>
        <w:t>公司名称：</w:t>
      </w:r>
      <w:r>
        <w:rPr>
          <w:rFonts w:hint="eastAsia"/>
          <w:bCs/>
          <w:lang w:eastAsia="zh-CN"/>
        </w:rPr>
        <w:t>XXXXXX</w:t>
      </w:r>
    </w:p>
    <w:p>
      <w:pPr>
        <w:widowControl w:val="0"/>
        <w:autoSpaceDE w:val="0"/>
        <w:autoSpaceDN w:val="0"/>
        <w:adjustRightInd w:val="0"/>
        <w:snapToGrid w:val="0"/>
        <w:ind w:left="0" w:firstLine="420"/>
        <w:textAlignment w:val="center"/>
        <w:rPr>
          <w:bCs/>
          <w:color w:val="0000FF"/>
          <w:highlight w:val="none"/>
          <w:lang w:eastAsia="zh-CN"/>
        </w:rPr>
      </w:pPr>
      <w:r>
        <w:rPr>
          <w:rFonts w:hint="eastAsia"/>
          <w:bCs/>
          <w:color w:val="0000FF"/>
          <w:highlight w:val="none"/>
          <w:lang w:eastAsia="zh-CN"/>
        </w:rPr>
        <w:t>项目</w:t>
      </w:r>
      <w:r>
        <w:rPr>
          <w:bCs/>
          <w:color w:val="0000FF"/>
          <w:highlight w:val="none"/>
          <w:lang w:eastAsia="zh-CN"/>
        </w:rPr>
        <w:t>负责人：</w:t>
      </w:r>
    </w:p>
    <w:p>
      <w:pPr>
        <w:widowControl w:val="0"/>
        <w:autoSpaceDE w:val="0"/>
        <w:autoSpaceDN w:val="0"/>
        <w:adjustRightInd w:val="0"/>
        <w:snapToGrid w:val="0"/>
        <w:ind w:left="0" w:firstLine="420"/>
        <w:textAlignment w:val="center"/>
        <w:rPr>
          <w:rFonts w:hint="eastAsia"/>
          <w:bCs/>
          <w:lang w:val="en-US" w:eastAsia="zh-CN"/>
        </w:rPr>
      </w:pPr>
      <w:r>
        <w:rPr>
          <w:bCs/>
          <w:lang w:eastAsia="zh-CN"/>
        </w:rPr>
        <w:t>联系地址：</w:t>
      </w:r>
      <w:r>
        <w:rPr>
          <w:rFonts w:hint="eastAsia"/>
          <w:bCs/>
          <w:lang w:val="en-US" w:eastAsia="zh-CN"/>
        </w:rPr>
        <w:t>XXXXX</w:t>
      </w:r>
    </w:p>
    <w:p>
      <w:pPr>
        <w:widowControl w:val="0"/>
        <w:autoSpaceDE w:val="0"/>
        <w:autoSpaceDN w:val="0"/>
        <w:adjustRightInd w:val="0"/>
        <w:snapToGrid w:val="0"/>
        <w:ind w:left="0" w:firstLine="420"/>
        <w:textAlignment w:val="center"/>
        <w:rPr>
          <w:rFonts w:hint="default" w:eastAsia="宋体"/>
          <w:bCs/>
          <w:lang w:val="en-US" w:eastAsia="zh-CN"/>
        </w:rPr>
      </w:pPr>
      <w:r>
        <w:rPr>
          <w:bCs/>
        </w:rPr>
        <w:t>电话：</w:t>
      </w:r>
      <w:r>
        <w:rPr>
          <w:rFonts w:hint="eastAsia"/>
          <w:bCs/>
          <w:lang w:val="en-US" w:eastAsia="zh-CN"/>
        </w:rPr>
        <w:t>XXXXX</w:t>
      </w:r>
    </w:p>
    <w:p>
      <w:pPr>
        <w:widowControl w:val="0"/>
        <w:numPr>
          <w:ilvl w:val="0"/>
          <w:numId w:val="2"/>
        </w:numPr>
        <w:autoSpaceDE w:val="0"/>
        <w:autoSpaceDN w:val="0"/>
        <w:adjustRightInd w:val="0"/>
        <w:snapToGrid w:val="0"/>
        <w:textAlignment w:val="center"/>
        <w:rPr>
          <w:b/>
          <w:lang w:eastAsia="zh-CN"/>
        </w:rPr>
      </w:pPr>
      <w:r>
        <w:rPr>
          <w:rFonts w:hint="eastAsia"/>
          <w:b/>
          <w:lang w:eastAsia="zh-CN"/>
        </w:rPr>
        <w:t>数据管理和统计分析单位</w:t>
      </w:r>
    </w:p>
    <w:p>
      <w:pPr>
        <w:widowControl w:val="0"/>
        <w:autoSpaceDE w:val="0"/>
        <w:autoSpaceDN w:val="0"/>
        <w:adjustRightInd w:val="0"/>
        <w:snapToGrid w:val="0"/>
        <w:ind w:left="0" w:firstLine="420"/>
        <w:textAlignment w:val="center"/>
        <w:rPr>
          <w:bCs/>
          <w:lang w:eastAsia="zh-CN"/>
        </w:rPr>
      </w:pPr>
      <w:r>
        <w:rPr>
          <w:bCs/>
          <w:lang w:eastAsia="zh-CN"/>
        </w:rPr>
        <w:t>公司名称：</w:t>
      </w:r>
      <w:r>
        <w:rPr>
          <w:rFonts w:hint="eastAsia"/>
          <w:bCs/>
          <w:lang w:eastAsia="zh-CN"/>
        </w:rPr>
        <w:t>XXXXXX</w:t>
      </w:r>
    </w:p>
    <w:p>
      <w:pPr>
        <w:widowControl w:val="0"/>
        <w:autoSpaceDE w:val="0"/>
        <w:autoSpaceDN w:val="0"/>
        <w:adjustRightInd w:val="0"/>
        <w:snapToGrid w:val="0"/>
        <w:ind w:left="0" w:firstLine="420"/>
        <w:textAlignment w:val="center"/>
        <w:rPr>
          <w:rFonts w:hint="default"/>
          <w:bCs/>
          <w:lang w:val="en-US" w:eastAsia="zh-CN"/>
        </w:rPr>
      </w:pPr>
      <w:r>
        <w:rPr>
          <w:rFonts w:hint="eastAsia"/>
          <w:bCs/>
          <w:lang w:eastAsia="zh-CN"/>
        </w:rPr>
        <w:t>项目</w:t>
      </w:r>
      <w:r>
        <w:rPr>
          <w:bCs/>
          <w:lang w:eastAsia="zh-CN"/>
        </w:rPr>
        <w:t>负责人：</w:t>
      </w:r>
      <w:r>
        <w:rPr>
          <w:rFonts w:hint="eastAsia"/>
          <w:bCs/>
          <w:lang w:val="en-US" w:eastAsia="zh-CN"/>
        </w:rPr>
        <w:t>XXX</w:t>
      </w:r>
    </w:p>
    <w:p>
      <w:pPr>
        <w:widowControl w:val="0"/>
        <w:autoSpaceDE w:val="0"/>
        <w:autoSpaceDN w:val="0"/>
        <w:adjustRightInd w:val="0"/>
        <w:snapToGrid w:val="0"/>
        <w:ind w:left="0" w:firstLine="420"/>
        <w:textAlignment w:val="center"/>
        <w:rPr>
          <w:rFonts w:hint="default"/>
          <w:bCs/>
          <w:lang w:val="en-US" w:eastAsia="zh-CN"/>
        </w:rPr>
      </w:pPr>
      <w:r>
        <w:rPr>
          <w:bCs/>
          <w:lang w:eastAsia="zh-CN"/>
        </w:rPr>
        <w:t>联系地址：</w:t>
      </w:r>
      <w:r>
        <w:rPr>
          <w:rFonts w:hint="eastAsia"/>
          <w:bCs/>
          <w:lang w:val="en-US" w:eastAsia="zh-CN"/>
        </w:rPr>
        <w:t>XXXXXXX</w:t>
      </w:r>
    </w:p>
    <w:p>
      <w:pPr>
        <w:widowControl w:val="0"/>
        <w:autoSpaceDE w:val="0"/>
        <w:autoSpaceDN w:val="0"/>
        <w:adjustRightInd w:val="0"/>
        <w:snapToGrid w:val="0"/>
        <w:ind w:left="0" w:firstLine="420"/>
        <w:textAlignment w:val="center"/>
        <w:rPr>
          <w:rFonts w:hint="default"/>
          <w:bCs/>
          <w:lang w:val="en-US" w:eastAsia="zh-CN"/>
        </w:rPr>
      </w:pPr>
      <w:r>
        <w:rPr>
          <w:bCs/>
        </w:rPr>
        <w:t>电话：</w:t>
      </w:r>
      <w:r>
        <w:rPr>
          <w:rFonts w:hint="eastAsia"/>
          <w:bCs/>
          <w:lang w:val="en-US" w:eastAsia="zh-CN"/>
        </w:rPr>
        <w:t>XXXXX</w:t>
      </w:r>
    </w:p>
    <w:p>
      <w:pPr>
        <w:widowControl w:val="0"/>
        <w:autoSpaceDE w:val="0"/>
        <w:autoSpaceDN w:val="0"/>
        <w:adjustRightInd w:val="0"/>
        <w:snapToGrid w:val="0"/>
        <w:ind w:left="0" w:firstLine="0"/>
        <w:textAlignment w:val="center"/>
        <w:rPr>
          <w:b/>
          <w:lang w:eastAsia="zh-CN"/>
        </w:rPr>
      </w:pPr>
    </w:p>
    <w:p>
      <w:pPr>
        <w:widowControl w:val="0"/>
        <w:autoSpaceDE w:val="0"/>
        <w:autoSpaceDN w:val="0"/>
        <w:adjustRightInd w:val="0"/>
        <w:snapToGrid w:val="0"/>
        <w:ind w:left="0" w:firstLine="420"/>
        <w:textAlignment w:val="center"/>
        <w:rPr>
          <w:bCs/>
        </w:rPr>
      </w:pPr>
    </w:p>
    <w:p>
      <w:pPr>
        <w:widowControl w:val="0"/>
        <w:autoSpaceDE w:val="0"/>
        <w:autoSpaceDN w:val="0"/>
        <w:adjustRightInd w:val="0"/>
        <w:ind w:left="0" w:firstLine="0"/>
        <w:contextualSpacing/>
        <w:textAlignment w:val="center"/>
        <w:rPr>
          <w:rFonts w:eastAsiaTheme="minorEastAsia"/>
          <w:bCs/>
          <w:lang w:eastAsia="zh-CN"/>
        </w:rPr>
      </w:pPr>
    </w:p>
    <w:p>
      <w:pPr>
        <w:widowControl w:val="0"/>
        <w:autoSpaceDE w:val="0"/>
        <w:autoSpaceDN w:val="0"/>
        <w:adjustRightInd w:val="0"/>
        <w:ind w:left="0" w:firstLine="0"/>
        <w:contextualSpacing/>
        <w:textAlignment w:val="center"/>
        <w:rPr>
          <w:rFonts w:eastAsiaTheme="minorEastAsia"/>
          <w:bCs/>
          <w:lang w:eastAsia="zh-CN"/>
        </w:rPr>
        <w:sectPr>
          <w:footerReference r:id="rId12" w:type="first"/>
          <w:footerReference r:id="rId11" w:type="default"/>
          <w:pgSz w:w="11900" w:h="16840"/>
          <w:pgMar w:top="1440" w:right="1327" w:bottom="1361" w:left="1554" w:header="992" w:footer="992" w:gutter="0"/>
          <w:pgNumType w:fmt="upperRoman" w:start="1"/>
          <w:cols w:space="720" w:num="1"/>
          <w:titlePg/>
          <w:docGrid w:type="lines" w:linePitch="326" w:charSpace="0"/>
        </w:sectPr>
      </w:pPr>
    </w:p>
    <w:p>
      <w:pPr>
        <w:pStyle w:val="3"/>
        <w:autoSpaceDE w:val="0"/>
        <w:autoSpaceDN w:val="0"/>
        <w:adjustRightInd w:val="0"/>
        <w:ind w:left="0" w:firstLine="0"/>
        <w:contextualSpacing/>
        <w:jc w:val="center"/>
        <w:rPr>
          <w:rFonts w:ascii="Times New Roman" w:hAnsi="Times New Roman" w:cs="Times New Roman" w:eastAsiaTheme="minorEastAsia"/>
          <w:b/>
          <w:bCs/>
          <w:color w:val="auto"/>
          <w:sz w:val="28"/>
          <w:szCs w:val="28"/>
          <w:lang w:val="zh-TW" w:eastAsia="zh-TW"/>
        </w:rPr>
      </w:pPr>
      <w:bookmarkStart w:id="0" w:name="_Toc32460"/>
      <w:bookmarkStart w:id="1" w:name="_Toc7278"/>
      <w:bookmarkStart w:id="2" w:name="_Toc460500080"/>
      <w:r>
        <w:rPr>
          <w:rFonts w:ascii="Times New Roman" w:hAnsi="Times New Roman" w:cs="Times New Roman" w:eastAsiaTheme="minorEastAsia"/>
          <w:b/>
          <w:bCs/>
          <w:color w:val="auto"/>
          <w:sz w:val="28"/>
          <w:szCs w:val="28"/>
          <w:lang w:val="zh-TW" w:eastAsia="zh-TW"/>
        </w:rPr>
        <w:t>目  录</w:t>
      </w:r>
      <w:bookmarkEnd w:id="0"/>
      <w:bookmarkEnd w:id="1"/>
      <w:bookmarkEnd w:id="2"/>
    </w:p>
    <w:p>
      <w:pPr>
        <w:pStyle w:val="18"/>
        <w:tabs>
          <w:tab w:val="right" w:leader="dot" w:pos="9019"/>
        </w:tabs>
      </w:pPr>
      <w:r>
        <w:rPr>
          <w:rFonts w:eastAsiaTheme="minorEastAsia"/>
          <w:sz w:val="24"/>
        </w:rPr>
        <w:fldChar w:fldCharType="begin"/>
      </w:r>
      <w:r>
        <w:rPr>
          <w:rFonts w:eastAsiaTheme="minorEastAsia"/>
          <w:sz w:val="24"/>
        </w:rPr>
        <w:instrText xml:space="preserve"> TOC \o "1-4" \h \z \u </w:instrText>
      </w:r>
      <w:r>
        <w:rPr>
          <w:rFonts w:eastAsiaTheme="minorEastAsia"/>
          <w:sz w:val="24"/>
        </w:rPr>
        <w:fldChar w:fldCharType="separate"/>
      </w:r>
      <w:r>
        <w:rPr>
          <w:rFonts w:eastAsiaTheme="minorEastAsia"/>
        </w:rPr>
        <w:fldChar w:fldCharType="begin"/>
      </w:r>
      <w:r>
        <w:rPr>
          <w:rFonts w:eastAsiaTheme="minorEastAsia"/>
        </w:rPr>
        <w:instrText xml:space="preserve"> HYPERLINK \l _Toc12460 </w:instrText>
      </w:r>
      <w:r>
        <w:rPr>
          <w:rFonts w:eastAsiaTheme="minorEastAsia"/>
        </w:rPr>
        <w:fldChar w:fldCharType="separate"/>
      </w:r>
      <w:r>
        <w:rPr>
          <w:rFonts w:ascii="Times New Roman" w:hAnsi="Times New Roman" w:cs="Times New Roman" w:eastAsiaTheme="minorEastAsia"/>
          <w:bCs/>
          <w:szCs w:val="28"/>
          <w:lang w:val="zh-TW" w:eastAsia="zh-TW"/>
        </w:rPr>
        <w:t>方案摘要</w:t>
      </w:r>
      <w:r>
        <w:tab/>
      </w:r>
      <w:r>
        <w:fldChar w:fldCharType="begin"/>
      </w:r>
      <w:r>
        <w:instrText xml:space="preserve"> PAGEREF _Toc12460 </w:instrText>
      </w:r>
      <w:r>
        <w:fldChar w:fldCharType="separate"/>
      </w:r>
      <w:r>
        <w:t>3</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_Toc27682 </w:instrText>
      </w:r>
      <w:r>
        <w:rPr>
          <w:rFonts w:eastAsiaTheme="minorEastAsia"/>
        </w:rPr>
        <w:fldChar w:fldCharType="separate"/>
      </w:r>
      <w:r>
        <w:rPr>
          <w:rFonts w:ascii="Times New Roman" w:hAnsi="Times New Roman" w:cs="Times New Roman" w:eastAsiaTheme="minorEastAsia"/>
          <w:bCs/>
          <w:kern w:val="44"/>
          <w:szCs w:val="28"/>
          <w:lang w:val="zh-TW" w:eastAsia="zh-TW"/>
        </w:rPr>
        <w:t>缩略语表</w:t>
      </w:r>
      <w:r>
        <w:tab/>
      </w:r>
      <w:r>
        <w:fldChar w:fldCharType="begin"/>
      </w:r>
      <w:r>
        <w:instrText xml:space="preserve"> PAGEREF _Toc27682 </w:instrText>
      </w:r>
      <w:r>
        <w:fldChar w:fldCharType="separate"/>
      </w:r>
      <w:r>
        <w:t>9</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_Toc17282 </w:instrText>
      </w:r>
      <w:r>
        <w:rPr>
          <w:rFonts w:eastAsiaTheme="minorEastAsia"/>
        </w:rPr>
        <w:fldChar w:fldCharType="separate"/>
      </w:r>
      <w:r>
        <w:rPr>
          <w:rFonts w:ascii="Times New Roman" w:hAnsi="Times New Roman" w:eastAsiaTheme="minorEastAsia"/>
          <w:szCs w:val="24"/>
          <w:lang w:val="zh-TW" w:eastAsia="zh-TW"/>
        </w:rPr>
        <w:t>研究背景资料</w:t>
      </w:r>
      <w:r>
        <w:tab/>
      </w:r>
      <w:r>
        <w:fldChar w:fldCharType="begin"/>
      </w:r>
      <w:r>
        <w:instrText xml:space="preserve"> PAGEREF _Toc17282 </w:instrText>
      </w:r>
      <w:r>
        <w:fldChar w:fldCharType="separate"/>
      </w:r>
      <w:r>
        <w:t>11</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_Toc15627 </w:instrText>
      </w:r>
      <w:r>
        <w:rPr>
          <w:rFonts w:eastAsiaTheme="minorEastAsia"/>
        </w:rPr>
        <w:fldChar w:fldCharType="separate"/>
      </w:r>
      <w:r>
        <w:rPr>
          <w:rFonts w:hint="default" w:ascii="Times New Roman" w:hAnsi="Times New Roman" w:eastAsiaTheme="minorEastAsia"/>
          <w:szCs w:val="24"/>
          <w:lang w:val="zh-TW" w:eastAsia="zh-CN"/>
        </w:rPr>
        <w:t xml:space="preserve">1.1 </w:t>
      </w:r>
      <w:r>
        <w:rPr>
          <w:rFonts w:ascii="Times New Roman" w:hAnsi="Times New Roman" w:eastAsiaTheme="minorEastAsia"/>
          <w:szCs w:val="24"/>
          <w:lang w:val="zh-TW"/>
        </w:rPr>
        <w:t>立题依据</w:t>
      </w:r>
      <w:r>
        <w:tab/>
      </w:r>
      <w:r>
        <w:fldChar w:fldCharType="begin"/>
      </w:r>
      <w:r>
        <w:instrText xml:space="preserve"> PAGEREF _Toc15627 </w:instrText>
      </w:r>
      <w:r>
        <w:fldChar w:fldCharType="separate"/>
      </w:r>
      <w:r>
        <w:t>11</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_Toc15014 </w:instrText>
      </w:r>
      <w:r>
        <w:rPr>
          <w:rFonts w:eastAsiaTheme="minorEastAsia"/>
        </w:rPr>
        <w:fldChar w:fldCharType="separate"/>
      </w:r>
      <w:r>
        <w:rPr>
          <w:rFonts w:hint="default" w:ascii="Times New Roman" w:hAnsi="Times New Roman" w:eastAsiaTheme="minorEastAsia"/>
          <w:szCs w:val="24"/>
          <w:lang w:val="zh-TW" w:eastAsia="zh-CN"/>
        </w:rPr>
        <w:t xml:space="preserve">1.2 </w:t>
      </w:r>
      <w:r>
        <w:rPr>
          <w:rFonts w:ascii="Times New Roman" w:hAnsi="Times New Roman" w:eastAsiaTheme="minorEastAsia"/>
          <w:szCs w:val="24"/>
          <w:lang w:val="zh-TW" w:eastAsia="zh-CN"/>
        </w:rPr>
        <w:t>试验用药临床应用情况</w:t>
      </w:r>
      <w:r>
        <w:tab/>
      </w:r>
      <w:r>
        <w:fldChar w:fldCharType="begin"/>
      </w:r>
      <w:r>
        <w:instrText xml:space="preserve"> PAGEREF _Toc15014 </w:instrText>
      </w:r>
      <w:r>
        <w:fldChar w:fldCharType="separate"/>
      </w:r>
      <w:r>
        <w:t>11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_Toc1953 </w:instrText>
      </w:r>
      <w:r>
        <w:rPr>
          <w:rFonts w:eastAsiaTheme="minorEastAsia"/>
        </w:rPr>
        <w:fldChar w:fldCharType="separate"/>
      </w:r>
      <w:r>
        <w:rPr>
          <w:rFonts w:hint="default" w:eastAsiaTheme="minorEastAsia"/>
          <w:lang w:val="zh-TW"/>
        </w:rPr>
        <w:t xml:space="preserve">1.2.1 </w:t>
      </w:r>
      <w:r>
        <w:rPr>
          <w:rFonts w:eastAsiaTheme="minorEastAsia"/>
          <w:lang w:val="zh-TW"/>
        </w:rPr>
        <w:t>作用机制</w:t>
      </w:r>
      <w:r>
        <w:rPr>
          <w:rFonts w:hint="eastAsia"/>
          <w:vertAlign w:val="superscript"/>
        </w:rPr>
        <w:t>[1]</w:t>
      </w:r>
      <w:r>
        <w:tab/>
      </w:r>
      <w:r>
        <w:fldChar w:fldCharType="begin"/>
      </w:r>
      <w:r>
        <w:instrText xml:space="preserve"> PAGEREF _Toc1953 </w:instrText>
      </w:r>
      <w:r>
        <w:fldChar w:fldCharType="separate"/>
      </w:r>
      <w:r>
        <w:t>11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_Toc506 </w:instrText>
      </w:r>
      <w:r>
        <w:rPr>
          <w:rFonts w:eastAsiaTheme="minorEastAsia"/>
        </w:rPr>
        <w:fldChar w:fldCharType="separate"/>
      </w:r>
      <w:r>
        <w:rPr>
          <w:rFonts w:hint="default" w:eastAsiaTheme="minorEastAsia"/>
          <w:lang w:val="zh-TW"/>
        </w:rPr>
        <w:t xml:space="preserve">1.2.2 </w:t>
      </w:r>
      <w:r>
        <w:rPr>
          <w:rFonts w:eastAsiaTheme="minorEastAsia"/>
          <w:lang w:val="zh-TW"/>
        </w:rPr>
        <w:t>临床适应症</w:t>
      </w:r>
      <w:r>
        <w:rPr>
          <w:rFonts w:hint="eastAsia"/>
          <w:vertAlign w:val="superscript"/>
        </w:rPr>
        <w:t>[1]</w:t>
      </w:r>
      <w:r>
        <w:tab/>
      </w:r>
      <w:r>
        <w:fldChar w:fldCharType="begin"/>
      </w:r>
      <w:r>
        <w:instrText xml:space="preserve"> PAGEREF _Toc506 </w:instrText>
      </w:r>
      <w:r>
        <w:fldChar w:fldCharType="separate"/>
      </w:r>
      <w:r>
        <w:t>12</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_Toc5892 </w:instrText>
      </w:r>
      <w:r>
        <w:rPr>
          <w:rFonts w:eastAsiaTheme="minorEastAsia"/>
        </w:rPr>
        <w:fldChar w:fldCharType="separate"/>
      </w:r>
      <w:r>
        <w:rPr>
          <w:rFonts w:hint="default" w:eastAsiaTheme="minorEastAsia"/>
          <w:lang w:val="zh-TW"/>
        </w:rPr>
        <w:t xml:space="preserve">1.2.3 </w:t>
      </w:r>
      <w:r>
        <w:rPr>
          <w:rFonts w:eastAsiaTheme="minorEastAsia"/>
          <w:lang w:val="zh-TW"/>
        </w:rPr>
        <w:t>临床用法用量</w:t>
      </w:r>
      <w:r>
        <w:rPr>
          <w:rFonts w:hint="eastAsia"/>
          <w:vertAlign w:val="superscript"/>
        </w:rPr>
        <w:t>[1]</w:t>
      </w:r>
      <w:r>
        <w:tab/>
      </w:r>
      <w:r>
        <w:fldChar w:fldCharType="begin"/>
      </w:r>
      <w:r>
        <w:instrText xml:space="preserve"> PAGEREF _Toc5892 </w:instrText>
      </w:r>
      <w:r>
        <w:fldChar w:fldCharType="separate"/>
      </w:r>
      <w:r>
        <w:t>12</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_Toc5079 </w:instrText>
      </w:r>
      <w:r>
        <w:rPr>
          <w:rFonts w:eastAsiaTheme="minorEastAsia"/>
        </w:rPr>
        <w:fldChar w:fldCharType="separate"/>
      </w:r>
      <w:r>
        <w:rPr>
          <w:rFonts w:hint="eastAsia" w:eastAsiaTheme="minorEastAsia"/>
          <w:lang w:val="en-US" w:eastAsia="zh-CN"/>
        </w:rPr>
        <w:t xml:space="preserve">1.2.4   </w:t>
      </w:r>
      <w:r>
        <w:rPr>
          <w:rFonts w:hint="eastAsia" w:eastAsiaTheme="minorEastAsia"/>
        </w:rPr>
        <w:t>主要</w:t>
      </w:r>
      <w:r>
        <w:rPr>
          <w:rFonts w:eastAsiaTheme="minorEastAsia"/>
          <w:lang w:val="zh-TW"/>
        </w:rPr>
        <w:t>不良反应</w:t>
      </w:r>
      <w:r>
        <w:rPr>
          <w:rFonts w:hint="eastAsia" w:eastAsiaTheme="minorEastAsia"/>
          <w:vertAlign w:val="superscript"/>
          <w:lang w:val="en-US" w:eastAsia="zh-CN"/>
        </w:rPr>
        <w:t>[1～2]</w:t>
      </w:r>
      <w:r>
        <w:tab/>
      </w:r>
      <w:r>
        <w:fldChar w:fldCharType="begin"/>
      </w:r>
      <w:r>
        <w:instrText xml:space="preserve"> PAGEREF _Toc5079 </w:instrText>
      </w:r>
      <w:r>
        <w:fldChar w:fldCharType="separate"/>
      </w:r>
      <w:r>
        <w:t>12</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_Toc20726 </w:instrText>
      </w:r>
      <w:r>
        <w:rPr>
          <w:rFonts w:eastAsiaTheme="minorEastAsia"/>
        </w:rPr>
        <w:fldChar w:fldCharType="separate"/>
      </w:r>
      <w:r>
        <w:rPr>
          <w:rFonts w:hint="eastAsia" w:eastAsiaTheme="minorEastAsia"/>
          <w:lang w:val="en-US" w:eastAsia="zh-CN"/>
        </w:rPr>
        <w:t xml:space="preserve">1.2.5  </w:t>
      </w:r>
      <w:r>
        <w:rPr>
          <w:rFonts w:eastAsiaTheme="minorEastAsia"/>
          <w:lang w:val="zh-TW"/>
        </w:rPr>
        <w:t>注意事项</w:t>
      </w:r>
      <w:r>
        <w:rPr>
          <w:rFonts w:hint="eastAsia" w:eastAsiaTheme="minorEastAsia"/>
          <w:vertAlign w:val="superscript"/>
          <w:lang w:val="en-US" w:eastAsia="zh-CN"/>
        </w:rPr>
        <w:t>[1]</w:t>
      </w:r>
      <w:r>
        <w:tab/>
      </w:r>
      <w:r>
        <w:fldChar w:fldCharType="begin"/>
      </w:r>
      <w:r>
        <w:instrText xml:space="preserve"> PAGEREF _Toc20726 </w:instrText>
      </w:r>
      <w:r>
        <w:fldChar w:fldCharType="separate"/>
      </w:r>
      <w:r>
        <w:t>13</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_Toc2182 </w:instrText>
      </w:r>
      <w:r>
        <w:rPr>
          <w:rFonts w:eastAsiaTheme="minorEastAsia"/>
        </w:rPr>
        <w:fldChar w:fldCharType="separate"/>
      </w:r>
      <w:r>
        <w:rPr>
          <w:rFonts w:hint="eastAsia" w:eastAsiaTheme="minorEastAsia"/>
          <w:lang w:val="en-US" w:eastAsia="zh-CN"/>
        </w:rPr>
        <w:t xml:space="preserve">1.2.6 </w:t>
      </w:r>
      <w:r>
        <w:rPr>
          <w:rFonts w:eastAsiaTheme="minorEastAsia"/>
          <w:lang w:val="zh-TW"/>
        </w:rPr>
        <w:t>禁忌症</w:t>
      </w:r>
      <w:r>
        <w:rPr>
          <w:rFonts w:hint="eastAsia" w:eastAsiaTheme="minorEastAsia"/>
          <w:vertAlign w:val="superscript"/>
          <w:lang w:val="en-US" w:eastAsia="zh-CN"/>
        </w:rPr>
        <w:t>[2]</w:t>
      </w:r>
      <w:r>
        <w:tab/>
      </w:r>
      <w:r>
        <w:fldChar w:fldCharType="begin"/>
      </w:r>
      <w:r>
        <w:instrText xml:space="preserve"> PAGEREF _Toc2182 </w:instrText>
      </w:r>
      <w:r>
        <w:fldChar w:fldCharType="separate"/>
      </w:r>
      <w:r>
        <w:t>14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_Toc14336 </w:instrText>
      </w:r>
      <w:r>
        <w:rPr>
          <w:rFonts w:eastAsiaTheme="minorEastAsia"/>
        </w:rPr>
        <w:fldChar w:fldCharType="separate"/>
      </w:r>
      <w:r>
        <w:rPr>
          <w:rFonts w:hint="default" w:ascii="Times New Roman" w:hAnsi="Times New Roman" w:eastAsiaTheme="minorEastAsia"/>
          <w:szCs w:val="24"/>
          <w:lang w:val="zh-TW"/>
        </w:rPr>
        <w:t xml:space="preserve">1.3 </w:t>
      </w:r>
      <w:r>
        <w:rPr>
          <w:rFonts w:ascii="Times New Roman" w:hAnsi="Times New Roman" w:eastAsiaTheme="minorEastAsia"/>
          <w:szCs w:val="24"/>
          <w:lang w:val="zh-TW"/>
        </w:rPr>
        <w:t>参比制剂的选择依据</w:t>
      </w:r>
      <w:r>
        <w:tab/>
      </w:r>
      <w:r>
        <w:fldChar w:fldCharType="begin"/>
      </w:r>
      <w:r>
        <w:instrText xml:space="preserve"> PAGEREF _Toc14336 </w:instrText>
      </w:r>
      <w:r>
        <w:fldChar w:fldCharType="separate"/>
      </w:r>
      <w:r>
        <w:t>14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_Toc32318 </w:instrText>
      </w:r>
      <w:r>
        <w:rPr>
          <w:rFonts w:eastAsiaTheme="minorEastAsia"/>
        </w:rPr>
        <w:fldChar w:fldCharType="separate"/>
      </w:r>
      <w:r>
        <w:rPr>
          <w:rFonts w:hint="default" w:ascii="Times New Roman" w:hAnsi="Times New Roman" w:eastAsiaTheme="minorEastAsia"/>
          <w:szCs w:val="24"/>
          <w:lang w:val="zh-TW"/>
        </w:rPr>
        <w:t xml:space="preserve">1.4 </w:t>
      </w:r>
      <w:r>
        <w:rPr>
          <w:rFonts w:ascii="Times New Roman" w:hAnsi="Times New Roman" w:eastAsiaTheme="minorEastAsia"/>
          <w:szCs w:val="24"/>
          <w:lang w:val="zh-TW"/>
        </w:rPr>
        <w:t>申报规格说明</w:t>
      </w:r>
      <w:r>
        <w:tab/>
      </w:r>
      <w:r>
        <w:fldChar w:fldCharType="begin"/>
      </w:r>
      <w:r>
        <w:instrText xml:space="preserve"> PAGEREF _Toc32318 </w:instrText>
      </w:r>
      <w:r>
        <w:fldChar w:fldCharType="separate"/>
      </w:r>
      <w:r>
        <w:t>14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_Toc26610 </w:instrText>
      </w:r>
      <w:r>
        <w:rPr>
          <w:rFonts w:eastAsiaTheme="minorEastAsia"/>
        </w:rPr>
        <w:fldChar w:fldCharType="separate"/>
      </w:r>
      <w:r>
        <w:rPr>
          <w:rFonts w:hint="default" w:ascii="Times New Roman" w:hAnsi="Times New Roman" w:eastAsiaTheme="minorEastAsia"/>
          <w:szCs w:val="24"/>
          <w:lang w:val="zh-TW"/>
        </w:rPr>
        <w:t xml:space="preserve">1.5 </w:t>
      </w:r>
      <w:r>
        <w:rPr>
          <w:rFonts w:ascii="Times New Roman" w:hAnsi="Times New Roman" w:eastAsiaTheme="minorEastAsia"/>
          <w:szCs w:val="24"/>
          <w:lang w:val="zh-TW"/>
        </w:rPr>
        <w:t>本项研究内容</w:t>
      </w:r>
      <w:r>
        <w:tab/>
      </w:r>
      <w:r>
        <w:fldChar w:fldCharType="begin"/>
      </w:r>
      <w:r>
        <w:instrText xml:space="preserve"> PAGEREF _Toc26610 </w:instrText>
      </w:r>
      <w:r>
        <w:fldChar w:fldCharType="separate"/>
      </w:r>
      <w:r>
        <w:t>15</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_Toc1600 </w:instrText>
      </w:r>
      <w:r>
        <w:rPr>
          <w:rFonts w:eastAsiaTheme="minorEastAsia"/>
        </w:rPr>
        <w:fldChar w:fldCharType="separate"/>
      </w:r>
      <w:r>
        <w:rPr>
          <w:rFonts w:hint="default" w:eastAsiaTheme="minorEastAsia"/>
          <w:lang w:val="zh-TW"/>
        </w:rPr>
        <w:t xml:space="preserve">1.5.1 </w:t>
      </w:r>
      <w:r>
        <w:rPr>
          <w:rFonts w:eastAsiaTheme="minorEastAsia"/>
          <w:lang w:val="zh-TW" w:eastAsia="zh-TW"/>
        </w:rPr>
        <w:t>试验目的</w:t>
      </w:r>
      <w:r>
        <w:tab/>
      </w:r>
      <w:r>
        <w:fldChar w:fldCharType="begin"/>
      </w:r>
      <w:r>
        <w:instrText xml:space="preserve"> PAGEREF _Toc1600 </w:instrText>
      </w:r>
      <w:r>
        <w:fldChar w:fldCharType="separate"/>
      </w:r>
      <w:r>
        <w:t>15</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_Toc14695 </w:instrText>
      </w:r>
      <w:r>
        <w:rPr>
          <w:rFonts w:eastAsiaTheme="minorEastAsia"/>
        </w:rPr>
        <w:fldChar w:fldCharType="separate"/>
      </w:r>
      <w:r>
        <w:rPr>
          <w:rFonts w:hint="default" w:eastAsiaTheme="minorEastAsia"/>
          <w:lang w:val="zh-TW" w:eastAsia="zh-TW"/>
        </w:rPr>
        <w:t xml:space="preserve">1.5.2 </w:t>
      </w:r>
      <w:r>
        <w:rPr>
          <w:rFonts w:eastAsiaTheme="minorEastAsia"/>
          <w:lang w:val="zh-TW" w:eastAsia="zh-TW"/>
        </w:rPr>
        <w:t>试验设计</w:t>
      </w:r>
      <w:r>
        <w:tab/>
      </w:r>
      <w:r>
        <w:fldChar w:fldCharType="begin"/>
      </w:r>
      <w:r>
        <w:instrText xml:space="preserve"> PAGEREF _Toc14695 </w:instrText>
      </w:r>
      <w:r>
        <w:fldChar w:fldCharType="separate"/>
      </w:r>
      <w:r>
        <w:t>15</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_Toc20548 </w:instrText>
      </w:r>
      <w:r>
        <w:rPr>
          <w:rFonts w:eastAsiaTheme="minorEastAsia"/>
        </w:rPr>
        <w:fldChar w:fldCharType="separate"/>
      </w:r>
      <w:r>
        <w:rPr>
          <w:rFonts w:hint="default" w:eastAsiaTheme="minorEastAsia"/>
          <w:lang w:val="zh-TW" w:eastAsia="zh-TW"/>
        </w:rPr>
        <w:t xml:space="preserve">1.5.3 </w:t>
      </w:r>
      <w:r>
        <w:rPr>
          <w:rFonts w:eastAsiaTheme="minorEastAsia"/>
          <w:lang w:val="zh-TW" w:eastAsia="zh-TW"/>
        </w:rPr>
        <w:t>随机方法</w:t>
      </w:r>
      <w:r>
        <w:tab/>
      </w:r>
      <w:r>
        <w:fldChar w:fldCharType="begin"/>
      </w:r>
      <w:r>
        <w:instrText xml:space="preserve"> PAGEREF _Toc20548 </w:instrText>
      </w:r>
      <w:r>
        <w:fldChar w:fldCharType="separate"/>
      </w:r>
      <w:r>
        <w:t>15</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_Toc21007 </w:instrText>
      </w:r>
      <w:r>
        <w:rPr>
          <w:rFonts w:eastAsiaTheme="minorEastAsia"/>
        </w:rPr>
        <w:fldChar w:fldCharType="separate"/>
      </w:r>
      <w:r>
        <w:rPr>
          <w:rFonts w:hint="default" w:eastAsia="宋体"/>
          <w:lang w:val="zh-TW" w:eastAsia="zh-TW"/>
        </w:rPr>
        <w:t xml:space="preserve">1.5.4 </w:t>
      </w:r>
      <w:r>
        <w:rPr>
          <w:rFonts w:eastAsia="宋体"/>
          <w:lang w:val="zh-TW" w:eastAsia="zh-TW"/>
        </w:rPr>
        <w:t>受试者入选条件、筛查指标和试验前教育</w:t>
      </w:r>
      <w:r>
        <w:tab/>
      </w:r>
      <w:r>
        <w:fldChar w:fldCharType="begin"/>
      </w:r>
      <w:r>
        <w:instrText xml:space="preserve"> PAGEREF _Toc21007 </w:instrText>
      </w:r>
      <w:r>
        <w:fldChar w:fldCharType="separate"/>
      </w:r>
      <w:r>
        <w:t>16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_Toc32446 </w:instrText>
      </w:r>
      <w:r>
        <w:rPr>
          <w:rFonts w:eastAsiaTheme="minorEastAsia"/>
        </w:rPr>
        <w:fldChar w:fldCharType="separate"/>
      </w:r>
      <w:r>
        <w:rPr>
          <w:rFonts w:hint="default" w:eastAsia="宋体"/>
          <w:lang w:val="zh-TW" w:eastAsia="zh-TW"/>
        </w:rPr>
        <w:t xml:space="preserve">1.5.5 </w:t>
      </w:r>
      <w:r>
        <w:rPr>
          <w:rFonts w:eastAsia="宋体"/>
          <w:lang w:val="zh-TW" w:eastAsia="zh-TW"/>
        </w:rPr>
        <w:t>试验过程简介</w:t>
      </w:r>
      <w:r>
        <w:tab/>
      </w:r>
      <w:r>
        <w:fldChar w:fldCharType="begin"/>
      </w:r>
      <w:r>
        <w:instrText xml:space="preserve"> PAGEREF _Toc32446 </w:instrText>
      </w:r>
      <w:r>
        <w:fldChar w:fldCharType="separate"/>
      </w:r>
      <w:r>
        <w:t>16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_Toc4843 </w:instrText>
      </w:r>
      <w:r>
        <w:rPr>
          <w:rFonts w:eastAsiaTheme="minorEastAsia"/>
        </w:rPr>
        <w:fldChar w:fldCharType="separate"/>
      </w:r>
      <w:r>
        <w:rPr>
          <w:rFonts w:hint="default" w:eastAsia="宋体"/>
          <w:lang w:val="zh-TW" w:eastAsia="zh-TW"/>
        </w:rPr>
        <w:t xml:space="preserve">1.5.6 </w:t>
      </w:r>
      <w:r>
        <w:rPr>
          <w:rFonts w:eastAsia="宋体"/>
          <w:lang w:val="zh-TW" w:eastAsia="zh-TW"/>
        </w:rPr>
        <w:t>清洗期</w:t>
      </w:r>
      <w:r>
        <w:tab/>
      </w:r>
      <w:r>
        <w:fldChar w:fldCharType="begin"/>
      </w:r>
      <w:r>
        <w:instrText xml:space="preserve"> PAGEREF _Toc4843 </w:instrText>
      </w:r>
      <w:r>
        <w:fldChar w:fldCharType="separate"/>
      </w:r>
      <w:r>
        <w:t>18</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_Toc13921 </w:instrText>
      </w:r>
      <w:r>
        <w:rPr>
          <w:rFonts w:eastAsiaTheme="minorEastAsia"/>
        </w:rPr>
        <w:fldChar w:fldCharType="separate"/>
      </w:r>
      <w:r>
        <w:rPr>
          <w:rFonts w:hint="default" w:ascii="Times New Roman" w:hAnsi="Times New Roman" w:cs="宋体"/>
          <w:szCs w:val="24"/>
        </w:rPr>
        <w:t xml:space="preserve">1 </w:t>
      </w:r>
      <w:r>
        <w:rPr>
          <w:rFonts w:ascii="Times New Roman" w:hAnsi="Times New Roman"/>
          <w:szCs w:val="24"/>
          <w:lang w:val="zh-TW" w:eastAsia="zh-TW"/>
        </w:rPr>
        <w:t>试验设计理由</w:t>
      </w:r>
      <w:r>
        <w:tab/>
      </w:r>
      <w:r>
        <w:fldChar w:fldCharType="begin"/>
      </w:r>
      <w:r>
        <w:instrText xml:space="preserve"> PAGEREF _Toc13921 </w:instrText>
      </w:r>
      <w:r>
        <w:fldChar w:fldCharType="separate"/>
      </w:r>
      <w:r>
        <w:t>18</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_Toc24572 </w:instrText>
      </w:r>
      <w:r>
        <w:rPr>
          <w:rFonts w:eastAsiaTheme="minorEastAsia"/>
        </w:rPr>
        <w:fldChar w:fldCharType="separate"/>
      </w:r>
      <w:r>
        <w:rPr>
          <w:rFonts w:hint="default" w:ascii="Times New Roman" w:hAnsi="Times New Roman" w:eastAsia="宋体"/>
          <w:szCs w:val="24"/>
          <w:lang w:val="zh-TW" w:eastAsia="zh-TW"/>
        </w:rPr>
        <w:t xml:space="preserve">2.1 </w:t>
      </w:r>
      <w:r>
        <w:rPr>
          <w:rFonts w:ascii="Times New Roman" w:hAnsi="Times New Roman" w:eastAsia="宋体"/>
          <w:szCs w:val="24"/>
          <w:lang w:val="zh-TW" w:eastAsia="zh-TW"/>
        </w:rPr>
        <w:t>总体设计</w:t>
      </w:r>
      <w:r>
        <w:tab/>
      </w:r>
      <w:r>
        <w:fldChar w:fldCharType="begin"/>
      </w:r>
      <w:r>
        <w:instrText xml:space="preserve"> PAGEREF _Toc24572 </w:instrText>
      </w:r>
      <w:r>
        <w:fldChar w:fldCharType="separate"/>
      </w:r>
      <w:r>
        <w:t>18</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_Toc19304 </w:instrText>
      </w:r>
      <w:r>
        <w:rPr>
          <w:rFonts w:eastAsiaTheme="minorEastAsia"/>
        </w:rPr>
        <w:fldChar w:fldCharType="separate"/>
      </w:r>
      <w:r>
        <w:rPr>
          <w:rFonts w:hint="eastAsia" w:ascii="Times New Roman" w:hAnsi="Times New Roman" w:eastAsia="宋体"/>
          <w:szCs w:val="24"/>
          <w:lang w:eastAsia="zh-CN"/>
        </w:rPr>
        <w:t xml:space="preserve">2.2  </w:t>
      </w:r>
      <w:r>
        <w:rPr>
          <w:rFonts w:ascii="Times New Roman" w:hAnsi="Times New Roman" w:eastAsia="宋体"/>
          <w:szCs w:val="24"/>
          <w:lang w:val="zh-TW" w:eastAsia="zh-TW"/>
        </w:rPr>
        <w:t>药代动力学特征</w:t>
      </w:r>
      <w:r>
        <w:rPr>
          <w:rFonts w:hint="eastAsia" w:ascii="Times New Roman" w:hAnsi="Times New Roman" w:eastAsia="宋体"/>
          <w:szCs w:val="24"/>
          <w:vertAlign w:val="superscript"/>
          <w:lang w:eastAsia="zh-CN"/>
        </w:rPr>
        <w:t>[1]</w:t>
      </w:r>
      <w:r>
        <w:tab/>
      </w:r>
      <w:r>
        <w:fldChar w:fldCharType="begin"/>
      </w:r>
      <w:r>
        <w:instrText xml:space="preserve"> PAGEREF _Toc19304 </w:instrText>
      </w:r>
      <w:r>
        <w:fldChar w:fldCharType="separate"/>
      </w:r>
      <w:r>
        <w:t>18</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_Toc9178 </w:instrText>
      </w:r>
      <w:r>
        <w:rPr>
          <w:rFonts w:eastAsiaTheme="minorEastAsia"/>
        </w:rPr>
        <w:fldChar w:fldCharType="separate"/>
      </w:r>
      <w:r>
        <w:rPr>
          <w:rFonts w:hint="default" w:ascii="Times New Roman" w:hAnsi="Times New Roman" w:eastAsiaTheme="minorEastAsia"/>
          <w:szCs w:val="24"/>
        </w:rPr>
        <w:t xml:space="preserve">2.2 </w:t>
      </w:r>
      <w:r>
        <w:rPr>
          <w:rFonts w:ascii="Times New Roman" w:hAnsi="Times New Roman" w:eastAsiaTheme="minorEastAsia"/>
          <w:szCs w:val="24"/>
          <w:lang w:val="zh-TW" w:eastAsia="zh-TW"/>
        </w:rPr>
        <w:t>既往临床研究</w:t>
      </w:r>
      <w:r>
        <w:tab/>
      </w:r>
      <w:r>
        <w:fldChar w:fldCharType="begin"/>
      </w:r>
      <w:r>
        <w:instrText xml:space="preserve"> PAGEREF _Toc9178 </w:instrText>
      </w:r>
      <w:r>
        <w:fldChar w:fldCharType="separate"/>
      </w:r>
      <w:r>
        <w:t>19</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_Toc4116 </w:instrText>
      </w:r>
      <w:r>
        <w:rPr>
          <w:rFonts w:eastAsiaTheme="minorEastAsia"/>
        </w:rPr>
        <w:fldChar w:fldCharType="separate"/>
      </w:r>
      <w:r>
        <w:rPr>
          <w:rFonts w:hint="default" w:ascii="Times New Roman" w:hAnsi="Times New Roman" w:eastAsiaTheme="minorEastAsia"/>
          <w:szCs w:val="24"/>
          <w:lang w:val="zh-TW" w:eastAsia="zh-TW"/>
        </w:rPr>
        <w:t xml:space="preserve">2.3 </w:t>
      </w:r>
      <w:r>
        <w:rPr>
          <w:rFonts w:ascii="Times New Roman" w:hAnsi="Times New Roman" w:eastAsiaTheme="minorEastAsia"/>
          <w:szCs w:val="24"/>
          <w:lang w:val="zh-TW" w:eastAsia="zh-TW"/>
        </w:rPr>
        <w:t>详细的方案设计</w:t>
      </w:r>
      <w:r>
        <w:tab/>
      </w:r>
      <w:r>
        <w:fldChar w:fldCharType="begin"/>
      </w:r>
      <w:r>
        <w:instrText xml:space="preserve"> PAGEREF _Toc4116 </w:instrText>
      </w:r>
      <w:r>
        <w:fldChar w:fldCharType="separate"/>
      </w:r>
      <w:r>
        <w:t>20</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_Toc22953 </w:instrText>
      </w:r>
      <w:r>
        <w:rPr>
          <w:rFonts w:eastAsiaTheme="minorEastAsia"/>
        </w:rPr>
        <w:fldChar w:fldCharType="separate"/>
      </w:r>
      <w:r>
        <w:rPr>
          <w:rFonts w:hint="eastAsia" w:eastAsiaTheme="minorEastAsia"/>
        </w:rPr>
        <w:t xml:space="preserve">2.4.1 </w:t>
      </w:r>
      <w:r>
        <w:rPr>
          <w:rFonts w:eastAsiaTheme="minorEastAsia"/>
        </w:rPr>
        <w:t>基本设计考虑</w:t>
      </w:r>
      <w:r>
        <w:tab/>
      </w:r>
      <w:r>
        <w:fldChar w:fldCharType="begin"/>
      </w:r>
      <w:r>
        <w:instrText xml:space="preserve"> PAGEREF _Toc22953 </w:instrText>
      </w:r>
      <w:r>
        <w:fldChar w:fldCharType="separate"/>
      </w:r>
      <w:r>
        <w:t>20</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_Toc17743 </w:instrText>
      </w:r>
      <w:r>
        <w:rPr>
          <w:rFonts w:eastAsiaTheme="minorEastAsia"/>
        </w:rPr>
        <w:fldChar w:fldCharType="separate"/>
      </w:r>
      <w:r>
        <w:rPr>
          <w:rFonts w:hint="eastAsia" w:eastAsiaTheme="minorEastAsia"/>
        </w:rPr>
        <w:t xml:space="preserve">2.4.2 </w:t>
      </w:r>
      <w:r>
        <w:rPr>
          <w:rFonts w:eastAsiaTheme="minorEastAsia"/>
        </w:rPr>
        <w:t>受试者例数及其确定依据</w:t>
      </w:r>
      <w:r>
        <w:tab/>
      </w:r>
      <w:r>
        <w:fldChar w:fldCharType="begin"/>
      </w:r>
      <w:r>
        <w:instrText xml:space="preserve"> PAGEREF _Toc17743 </w:instrText>
      </w:r>
      <w:r>
        <w:fldChar w:fldCharType="separate"/>
      </w:r>
      <w:r>
        <w:t>21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_Toc3994 </w:instrText>
      </w:r>
      <w:r>
        <w:rPr>
          <w:rFonts w:eastAsiaTheme="minorEastAsia"/>
        </w:rPr>
        <w:fldChar w:fldCharType="separate"/>
      </w:r>
      <w:r>
        <w:rPr>
          <w:rFonts w:hint="eastAsia" w:eastAsiaTheme="minorEastAsia"/>
        </w:rPr>
        <w:t xml:space="preserve">2.4.3 </w:t>
      </w:r>
      <w:r>
        <w:rPr>
          <w:rFonts w:eastAsiaTheme="minorEastAsia"/>
        </w:rPr>
        <w:t>试验流程图</w:t>
      </w:r>
      <w:r>
        <w:tab/>
      </w:r>
      <w:r>
        <w:fldChar w:fldCharType="begin"/>
      </w:r>
      <w:r>
        <w:instrText xml:space="preserve"> PAGEREF _Toc3994 </w:instrText>
      </w:r>
      <w:r>
        <w:fldChar w:fldCharType="separate"/>
      </w:r>
      <w:r>
        <w:t>21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_Toc5558 </w:instrText>
      </w:r>
      <w:r>
        <w:rPr>
          <w:rFonts w:eastAsiaTheme="minorEastAsia"/>
        </w:rPr>
        <w:fldChar w:fldCharType="separate"/>
      </w:r>
      <w:r>
        <w:rPr>
          <w:rFonts w:hint="eastAsia" w:eastAsiaTheme="minorEastAsia"/>
          <w:lang w:val="en-US" w:eastAsia="zh-CN"/>
        </w:rPr>
        <w:t>2.4.4</w:t>
      </w:r>
      <w:r>
        <w:rPr>
          <w:rFonts w:eastAsiaTheme="minorEastAsia"/>
        </w:rPr>
        <w:t>研究程序</w:t>
      </w:r>
      <w:r>
        <w:tab/>
      </w:r>
      <w:r>
        <w:fldChar w:fldCharType="begin"/>
      </w:r>
      <w:r>
        <w:instrText xml:space="preserve"> PAGEREF _Toc5558 </w:instrText>
      </w:r>
      <w:r>
        <w:fldChar w:fldCharType="separate"/>
      </w:r>
      <w:r>
        <w:t>23</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_Toc23028 </w:instrText>
      </w:r>
      <w:r>
        <w:rPr>
          <w:rFonts w:eastAsiaTheme="minorEastAsia"/>
        </w:rPr>
        <w:fldChar w:fldCharType="separate"/>
      </w:r>
      <w:r>
        <w:rPr>
          <w:rFonts w:hint="default" w:ascii="Times New Roman" w:hAnsi="Times New Roman" w:cs="宋体" w:eastAsiaTheme="minorEastAsia"/>
          <w:szCs w:val="24"/>
        </w:rPr>
        <w:t xml:space="preserve">2 </w:t>
      </w:r>
      <w:r>
        <w:rPr>
          <w:rFonts w:ascii="Times New Roman" w:hAnsi="Times New Roman" w:eastAsiaTheme="minorEastAsia"/>
          <w:szCs w:val="24"/>
          <w:lang w:val="zh-TW" w:eastAsia="zh-TW"/>
        </w:rPr>
        <w:t>受试者选择</w:t>
      </w:r>
      <w:r>
        <w:tab/>
      </w:r>
      <w:r>
        <w:fldChar w:fldCharType="begin"/>
      </w:r>
      <w:r>
        <w:instrText xml:space="preserve"> PAGEREF _Toc23028 </w:instrText>
      </w:r>
      <w:r>
        <w:fldChar w:fldCharType="separate"/>
      </w:r>
      <w:r>
        <w:t>27</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_Toc22359 </w:instrText>
      </w:r>
      <w:r>
        <w:rPr>
          <w:rFonts w:eastAsiaTheme="minorEastAsia"/>
        </w:rPr>
        <w:fldChar w:fldCharType="separate"/>
      </w:r>
      <w:r>
        <w:rPr>
          <w:rFonts w:hint="default" w:ascii="Times New Roman" w:hAnsi="Times New Roman" w:eastAsiaTheme="minorEastAsia"/>
          <w:bCs w:val="0"/>
          <w:szCs w:val="24"/>
          <w:lang w:eastAsia="zh-CN"/>
        </w:rPr>
        <w:t xml:space="preserve">3.1 </w:t>
      </w:r>
      <w:r>
        <w:rPr>
          <w:rFonts w:ascii="Times New Roman" w:hAnsi="Times New Roman" w:eastAsiaTheme="minorEastAsia"/>
          <w:bCs w:val="0"/>
          <w:szCs w:val="24"/>
          <w:lang w:val="zh-TW" w:eastAsia="zh-CN"/>
        </w:rPr>
        <w:t>受试者</w:t>
      </w:r>
      <w:r>
        <w:rPr>
          <w:rFonts w:ascii="Times New Roman" w:hAnsi="Times New Roman" w:eastAsiaTheme="minorEastAsia"/>
          <w:bCs w:val="0"/>
          <w:szCs w:val="24"/>
          <w:lang w:val="zh-TW" w:eastAsia="zh-TW"/>
        </w:rPr>
        <w:t>入选标准（满足全部入选标准方可入选）</w:t>
      </w:r>
      <w:r>
        <w:tab/>
      </w:r>
      <w:r>
        <w:fldChar w:fldCharType="begin"/>
      </w:r>
      <w:r>
        <w:instrText xml:space="preserve"> PAGEREF _Toc22359 </w:instrText>
      </w:r>
      <w:r>
        <w:fldChar w:fldCharType="separate"/>
      </w:r>
      <w:r>
        <w:t>27</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_Toc31961 </w:instrText>
      </w:r>
      <w:r>
        <w:rPr>
          <w:rFonts w:eastAsiaTheme="minorEastAsia"/>
        </w:rPr>
        <w:fldChar w:fldCharType="separate"/>
      </w:r>
      <w:r>
        <w:rPr>
          <w:rFonts w:hint="default" w:ascii="Times New Roman" w:hAnsi="Times New Roman" w:eastAsiaTheme="minorEastAsia"/>
          <w:szCs w:val="24"/>
          <w:lang w:val="zh-TW" w:eastAsia="zh-CN"/>
        </w:rPr>
        <w:t xml:space="preserve">3.2 </w:t>
      </w:r>
      <w:r>
        <w:rPr>
          <w:rFonts w:ascii="Times New Roman" w:hAnsi="Times New Roman" w:eastAsiaTheme="minorEastAsia"/>
          <w:szCs w:val="24"/>
          <w:lang w:val="zh-TW" w:eastAsia="zh-CN"/>
        </w:rPr>
        <w:t>排除标准（满足1项排除标准即排除）</w:t>
      </w:r>
      <w:r>
        <w:tab/>
      </w:r>
      <w:r>
        <w:fldChar w:fldCharType="begin"/>
      </w:r>
      <w:r>
        <w:instrText xml:space="preserve"> PAGEREF _Toc31961 </w:instrText>
      </w:r>
      <w:r>
        <w:fldChar w:fldCharType="separate"/>
      </w:r>
      <w:r>
        <w:t>27</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_Toc4030 </w:instrText>
      </w:r>
      <w:r>
        <w:rPr>
          <w:rFonts w:eastAsiaTheme="minorEastAsia"/>
        </w:rPr>
        <w:fldChar w:fldCharType="separate"/>
      </w:r>
      <w:r>
        <w:rPr>
          <w:rFonts w:hint="default" w:ascii="Times New Roman" w:hAnsi="Times New Roman" w:eastAsiaTheme="minorEastAsia"/>
          <w:szCs w:val="24"/>
          <w:lang w:val="zh-TW" w:eastAsia="zh-CN"/>
        </w:rPr>
        <w:t xml:space="preserve">3.3 </w:t>
      </w:r>
      <w:r>
        <w:rPr>
          <w:rFonts w:ascii="Times New Roman" w:hAnsi="Times New Roman" w:eastAsiaTheme="minorEastAsia"/>
          <w:szCs w:val="24"/>
          <w:lang w:val="zh-TW" w:eastAsia="zh-CN"/>
        </w:rPr>
        <w:t>受试者剔除标准</w:t>
      </w:r>
      <w:r>
        <w:tab/>
      </w:r>
      <w:r>
        <w:fldChar w:fldCharType="begin"/>
      </w:r>
      <w:r>
        <w:instrText xml:space="preserve"> PAGEREF _Toc4030 </w:instrText>
      </w:r>
      <w:r>
        <w:fldChar w:fldCharType="separate"/>
      </w:r>
      <w:r>
        <w:t>28</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_Toc30592 </w:instrText>
      </w:r>
      <w:r>
        <w:rPr>
          <w:rFonts w:eastAsiaTheme="minorEastAsia"/>
        </w:rPr>
        <w:fldChar w:fldCharType="separate"/>
      </w:r>
      <w:r>
        <w:rPr>
          <w:rFonts w:hint="default" w:ascii="Times New Roman" w:hAnsi="Times New Roman" w:eastAsiaTheme="minorEastAsia"/>
          <w:szCs w:val="24"/>
          <w:lang w:val="zh-TW" w:eastAsia="zh-CN"/>
        </w:rPr>
        <w:t xml:space="preserve">3.4 </w:t>
      </w:r>
      <w:r>
        <w:rPr>
          <w:rFonts w:ascii="Times New Roman" w:hAnsi="Times New Roman" w:eastAsiaTheme="minorEastAsia"/>
          <w:szCs w:val="24"/>
          <w:lang w:val="zh-TW" w:eastAsia="zh-CN"/>
        </w:rPr>
        <w:t>受试者脱落处理原则</w:t>
      </w:r>
      <w:r>
        <w:tab/>
      </w:r>
      <w:r>
        <w:fldChar w:fldCharType="begin"/>
      </w:r>
      <w:r>
        <w:instrText xml:space="preserve"> PAGEREF _Toc30592 </w:instrText>
      </w:r>
      <w:r>
        <w:fldChar w:fldCharType="separate"/>
      </w:r>
      <w:r>
        <w:t>29</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_Toc7901 </w:instrText>
      </w:r>
      <w:r>
        <w:rPr>
          <w:rFonts w:eastAsiaTheme="minorEastAsia"/>
        </w:rPr>
        <w:fldChar w:fldCharType="separate"/>
      </w:r>
      <w:r>
        <w:rPr>
          <w:rFonts w:hint="eastAsia" w:eastAsiaTheme="minorEastAsia"/>
        </w:rPr>
        <w:t xml:space="preserve">3.4.1 </w:t>
      </w:r>
      <w:r>
        <w:rPr>
          <w:rFonts w:eastAsiaTheme="minorEastAsia"/>
        </w:rPr>
        <w:t>研究者决定的退出</w:t>
      </w:r>
      <w:r>
        <w:tab/>
      </w:r>
      <w:r>
        <w:fldChar w:fldCharType="begin"/>
      </w:r>
      <w:r>
        <w:instrText xml:space="preserve"> PAGEREF _Toc7901 </w:instrText>
      </w:r>
      <w:r>
        <w:fldChar w:fldCharType="separate"/>
      </w:r>
      <w:r>
        <w:t>29</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_Toc3343 </w:instrText>
      </w:r>
      <w:r>
        <w:rPr>
          <w:rFonts w:eastAsiaTheme="minorEastAsia"/>
        </w:rPr>
        <w:fldChar w:fldCharType="separate"/>
      </w:r>
      <w:r>
        <w:rPr>
          <w:rFonts w:hint="eastAsia" w:eastAsiaTheme="minorEastAsia"/>
        </w:rPr>
        <w:t xml:space="preserve">3.4.2 </w:t>
      </w:r>
      <w:r>
        <w:rPr>
          <w:rFonts w:eastAsiaTheme="minorEastAsia"/>
        </w:rPr>
        <w:t>受试者自行退出研究</w:t>
      </w:r>
      <w:r>
        <w:tab/>
      </w:r>
      <w:r>
        <w:fldChar w:fldCharType="begin"/>
      </w:r>
      <w:r>
        <w:instrText xml:space="preserve"> PAGEREF _Toc3343 </w:instrText>
      </w:r>
      <w:r>
        <w:fldChar w:fldCharType="separate"/>
      </w:r>
      <w:r>
        <w:t>29</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_Toc21772 </w:instrText>
      </w:r>
      <w:r>
        <w:rPr>
          <w:rFonts w:eastAsiaTheme="minorEastAsia"/>
        </w:rPr>
        <w:fldChar w:fldCharType="separate"/>
      </w:r>
      <w:r>
        <w:rPr>
          <w:rFonts w:hint="eastAsia" w:eastAsiaTheme="minorEastAsia"/>
        </w:rPr>
        <w:t xml:space="preserve">3.4.3 </w:t>
      </w:r>
      <w:r>
        <w:rPr>
          <w:rFonts w:eastAsiaTheme="minorEastAsia"/>
        </w:rPr>
        <w:t>处理</w:t>
      </w:r>
      <w:r>
        <w:tab/>
      </w:r>
      <w:r>
        <w:fldChar w:fldCharType="begin"/>
      </w:r>
      <w:r>
        <w:instrText xml:space="preserve"> PAGEREF _Toc21772 </w:instrText>
      </w:r>
      <w:r>
        <w:fldChar w:fldCharType="separate"/>
      </w:r>
      <w:r>
        <w:t>29</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_Toc18182 </w:instrText>
      </w:r>
      <w:r>
        <w:rPr>
          <w:rFonts w:eastAsiaTheme="minorEastAsia"/>
        </w:rPr>
        <w:fldChar w:fldCharType="separate"/>
      </w:r>
      <w:r>
        <w:rPr>
          <w:rFonts w:hint="eastAsia" w:cs="宋体" w:eastAsiaTheme="minorEastAsia"/>
          <w:szCs w:val="24"/>
          <w:lang w:val="en-US" w:eastAsia="zh-CN"/>
        </w:rPr>
        <w:t>4</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TW"/>
        </w:rPr>
        <w:t>试验过程</w:t>
      </w:r>
      <w:r>
        <w:tab/>
      </w:r>
      <w:r>
        <w:fldChar w:fldCharType="begin"/>
      </w:r>
      <w:r>
        <w:instrText xml:space="preserve"> PAGEREF _Toc18182 </w:instrText>
      </w:r>
      <w:r>
        <w:fldChar w:fldCharType="separate"/>
      </w:r>
      <w:r>
        <w:t>30</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_Toc20019 </w:instrText>
      </w:r>
      <w:r>
        <w:rPr>
          <w:rFonts w:eastAsiaTheme="minorEastAsia"/>
        </w:rPr>
        <w:fldChar w:fldCharType="separate"/>
      </w:r>
      <w:r>
        <w:rPr>
          <w:rFonts w:hint="default" w:ascii="Times New Roman" w:hAnsi="Times New Roman" w:eastAsiaTheme="minorEastAsia"/>
          <w:szCs w:val="24"/>
          <w:lang w:val="zh-TW" w:eastAsia="zh-TW"/>
        </w:rPr>
        <w:t xml:space="preserve">4.1 </w:t>
      </w:r>
      <w:r>
        <w:rPr>
          <w:rFonts w:ascii="Times New Roman" w:hAnsi="Times New Roman" w:eastAsiaTheme="minorEastAsia"/>
          <w:szCs w:val="24"/>
          <w:lang w:val="zh-TW" w:eastAsia="zh-TW"/>
        </w:rPr>
        <w:t>试验药物信息</w:t>
      </w:r>
      <w:r>
        <w:tab/>
      </w:r>
      <w:r>
        <w:fldChar w:fldCharType="begin"/>
      </w:r>
      <w:r>
        <w:instrText xml:space="preserve"> PAGEREF _Toc20019 </w:instrText>
      </w:r>
      <w:r>
        <w:fldChar w:fldCharType="separate"/>
      </w:r>
      <w:r>
        <w:t>30</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_Toc12429 </w:instrText>
      </w:r>
      <w:r>
        <w:rPr>
          <w:rFonts w:eastAsiaTheme="minorEastAsia"/>
        </w:rPr>
        <w:fldChar w:fldCharType="separate"/>
      </w:r>
      <w:r>
        <w:rPr>
          <w:rFonts w:hint="default" w:ascii="Times New Roman" w:hAnsi="Times New Roman" w:eastAsiaTheme="minorEastAsia"/>
          <w:szCs w:val="24"/>
          <w:lang w:val="zh-TW" w:eastAsia="zh-TW"/>
        </w:rPr>
        <w:t xml:space="preserve">4.2 </w:t>
      </w:r>
      <w:r>
        <w:rPr>
          <w:rFonts w:ascii="Times New Roman" w:hAnsi="Times New Roman" w:eastAsiaTheme="minorEastAsia"/>
          <w:szCs w:val="24"/>
          <w:lang w:val="zh-TW" w:eastAsia="zh-TW"/>
        </w:rPr>
        <w:t>试验药物的接收、发放和保管</w:t>
      </w:r>
      <w:r>
        <w:tab/>
      </w:r>
      <w:r>
        <w:fldChar w:fldCharType="begin"/>
      </w:r>
      <w:r>
        <w:instrText xml:space="preserve"> PAGEREF _Toc12429 </w:instrText>
      </w:r>
      <w:r>
        <w:fldChar w:fldCharType="separate"/>
      </w:r>
      <w:r>
        <w:t>30</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_Toc13387 </w:instrText>
      </w:r>
      <w:r>
        <w:rPr>
          <w:rFonts w:eastAsiaTheme="minorEastAsia"/>
        </w:rPr>
        <w:fldChar w:fldCharType="separate"/>
      </w:r>
      <w:r>
        <w:rPr>
          <w:rFonts w:hint="default" w:ascii="Times New Roman" w:hAnsi="Times New Roman" w:eastAsiaTheme="minorEastAsia"/>
          <w:szCs w:val="24"/>
          <w:lang w:val="zh-TW" w:eastAsia="zh-TW"/>
        </w:rPr>
        <w:t xml:space="preserve">4.3 </w:t>
      </w:r>
      <w:r>
        <w:rPr>
          <w:rFonts w:ascii="Times New Roman" w:hAnsi="Times New Roman" w:eastAsiaTheme="minorEastAsia"/>
          <w:szCs w:val="24"/>
          <w:lang w:val="zh-TW" w:eastAsia="zh-TW"/>
        </w:rPr>
        <w:t>研究给药剂量的确定</w:t>
      </w:r>
      <w:r>
        <w:tab/>
      </w:r>
      <w:r>
        <w:fldChar w:fldCharType="begin"/>
      </w:r>
      <w:r>
        <w:instrText xml:space="preserve"> PAGEREF _Toc13387 </w:instrText>
      </w:r>
      <w:r>
        <w:fldChar w:fldCharType="separate"/>
      </w:r>
      <w:r>
        <w:t>32</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_Toc12642 </w:instrText>
      </w:r>
      <w:r>
        <w:rPr>
          <w:rFonts w:eastAsiaTheme="minorEastAsia"/>
        </w:rPr>
        <w:fldChar w:fldCharType="separate"/>
      </w:r>
      <w:r>
        <w:rPr>
          <w:rFonts w:hint="default" w:ascii="Times New Roman" w:hAnsi="Times New Roman" w:eastAsiaTheme="minorEastAsia"/>
          <w:szCs w:val="24"/>
          <w:lang w:val="zh-TW" w:eastAsia="zh-TW"/>
        </w:rPr>
        <w:t xml:space="preserve">4.4 </w:t>
      </w:r>
      <w:r>
        <w:rPr>
          <w:rFonts w:ascii="Times New Roman" w:hAnsi="Times New Roman" w:eastAsiaTheme="minorEastAsia"/>
          <w:szCs w:val="24"/>
          <w:lang w:val="zh-TW" w:eastAsia="zh-TW"/>
        </w:rPr>
        <w:t>受试者给药方法</w:t>
      </w:r>
      <w:r>
        <w:tab/>
      </w:r>
      <w:r>
        <w:fldChar w:fldCharType="begin"/>
      </w:r>
      <w:r>
        <w:instrText xml:space="preserve"> PAGEREF _Toc12642 </w:instrText>
      </w:r>
      <w:r>
        <w:fldChar w:fldCharType="separate"/>
      </w:r>
      <w:r>
        <w:t>32</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_Toc18203 </w:instrText>
      </w:r>
      <w:r>
        <w:rPr>
          <w:rFonts w:eastAsiaTheme="minorEastAsia"/>
        </w:rPr>
        <w:fldChar w:fldCharType="separate"/>
      </w:r>
      <w:r>
        <w:rPr>
          <w:rFonts w:hint="default" w:ascii="Times New Roman" w:hAnsi="Times New Roman" w:eastAsiaTheme="minorEastAsia"/>
          <w:szCs w:val="24"/>
          <w:lang w:val="zh-TW" w:eastAsia="zh-TW"/>
        </w:rPr>
        <w:t xml:space="preserve">4.5 </w:t>
      </w:r>
      <w:r>
        <w:rPr>
          <w:rFonts w:ascii="Times New Roman" w:hAnsi="Times New Roman" w:eastAsiaTheme="minorEastAsia"/>
          <w:szCs w:val="24"/>
          <w:lang w:val="zh-TW" w:eastAsia="zh-TW"/>
        </w:rPr>
        <w:t>设盲</w:t>
      </w:r>
      <w:r>
        <w:tab/>
      </w:r>
      <w:r>
        <w:fldChar w:fldCharType="begin"/>
      </w:r>
      <w:r>
        <w:instrText xml:space="preserve"> PAGEREF _Toc18203 </w:instrText>
      </w:r>
      <w:r>
        <w:fldChar w:fldCharType="separate"/>
      </w:r>
      <w:r>
        <w:t>32</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_Toc11557 </w:instrText>
      </w:r>
      <w:r>
        <w:rPr>
          <w:rFonts w:eastAsiaTheme="minorEastAsia"/>
        </w:rPr>
        <w:fldChar w:fldCharType="separate"/>
      </w:r>
      <w:r>
        <w:rPr>
          <w:rFonts w:hint="default" w:ascii="Times New Roman" w:hAnsi="Times New Roman" w:eastAsiaTheme="minorEastAsia"/>
          <w:szCs w:val="24"/>
          <w:lang w:val="zh-TW" w:eastAsia="zh-TW"/>
        </w:rPr>
        <w:t xml:space="preserve">4.6 </w:t>
      </w:r>
      <w:r>
        <w:rPr>
          <w:rFonts w:ascii="Times New Roman" w:hAnsi="Times New Roman" w:eastAsiaTheme="minorEastAsia"/>
          <w:szCs w:val="24"/>
          <w:lang w:val="zh-TW" w:eastAsia="zh-TW"/>
        </w:rPr>
        <w:t>试验前和试验过程中的其他治疗药物</w:t>
      </w:r>
      <w:r>
        <w:tab/>
      </w:r>
      <w:r>
        <w:fldChar w:fldCharType="begin"/>
      </w:r>
      <w:r>
        <w:instrText xml:space="preserve"> PAGEREF _Toc11557 </w:instrText>
      </w:r>
      <w:r>
        <w:fldChar w:fldCharType="separate"/>
      </w:r>
      <w:r>
        <w:t>33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_Toc23253 </w:instrText>
      </w:r>
      <w:r>
        <w:rPr>
          <w:rFonts w:eastAsiaTheme="minorEastAsia"/>
        </w:rPr>
        <w:fldChar w:fldCharType="separate"/>
      </w:r>
      <w:r>
        <w:rPr>
          <w:rFonts w:hint="default" w:ascii="Times New Roman" w:hAnsi="Times New Roman" w:eastAsiaTheme="minorEastAsia"/>
          <w:szCs w:val="24"/>
          <w:lang w:val="zh-TW" w:eastAsia="zh-TW"/>
        </w:rPr>
        <w:t xml:space="preserve">4.7 </w:t>
      </w:r>
      <w:r>
        <w:rPr>
          <w:rFonts w:ascii="Times New Roman" w:hAnsi="Times New Roman" w:eastAsiaTheme="minorEastAsia"/>
          <w:szCs w:val="24"/>
          <w:lang w:val="zh-TW" w:eastAsia="zh-TW"/>
        </w:rPr>
        <w:t>服药依从性</w:t>
      </w:r>
      <w:r>
        <w:tab/>
      </w:r>
      <w:r>
        <w:fldChar w:fldCharType="begin"/>
      </w:r>
      <w:r>
        <w:instrText xml:space="preserve"> PAGEREF _Toc23253 </w:instrText>
      </w:r>
      <w:r>
        <w:fldChar w:fldCharType="separate"/>
      </w:r>
      <w:r>
        <w:t>33</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_Toc29200 </w:instrText>
      </w:r>
      <w:r>
        <w:rPr>
          <w:rFonts w:eastAsiaTheme="minorEastAsia"/>
        </w:rPr>
        <w:fldChar w:fldCharType="separate"/>
      </w:r>
      <w:r>
        <w:rPr>
          <w:rFonts w:hint="eastAsia" w:cs="宋体" w:eastAsiaTheme="minorEastAsia"/>
          <w:szCs w:val="24"/>
          <w:lang w:val="en-US" w:eastAsia="zh-CN"/>
        </w:rPr>
        <w:t>5</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TW"/>
        </w:rPr>
        <w:t>样品采集、运输与储存</w:t>
      </w:r>
      <w:r>
        <w:tab/>
      </w:r>
      <w:r>
        <w:fldChar w:fldCharType="begin"/>
      </w:r>
      <w:r>
        <w:instrText xml:space="preserve"> PAGEREF _Toc29200 </w:instrText>
      </w:r>
      <w:r>
        <w:fldChar w:fldCharType="separate"/>
      </w:r>
      <w:r>
        <w:t>33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_Toc19565 </w:instrText>
      </w:r>
      <w:r>
        <w:rPr>
          <w:rFonts w:eastAsiaTheme="minorEastAsia"/>
        </w:rPr>
        <w:fldChar w:fldCharType="separate"/>
      </w:r>
      <w:r>
        <w:rPr>
          <w:rFonts w:hint="default" w:ascii="Times New Roman" w:hAnsi="Times New Roman" w:eastAsiaTheme="minorEastAsia"/>
          <w:szCs w:val="24"/>
          <w:lang w:val="zh-TW" w:eastAsia="zh-TW"/>
        </w:rPr>
        <w:t xml:space="preserve">5.1 </w:t>
      </w:r>
      <w:r>
        <w:rPr>
          <w:rFonts w:ascii="Times New Roman" w:hAnsi="Times New Roman" w:eastAsiaTheme="minorEastAsia"/>
          <w:szCs w:val="24"/>
          <w:lang w:val="zh-TW" w:eastAsia="zh-TW"/>
        </w:rPr>
        <w:t>生物样品的种类及确定依据</w:t>
      </w:r>
      <w:r>
        <w:tab/>
      </w:r>
      <w:r>
        <w:fldChar w:fldCharType="begin"/>
      </w:r>
      <w:r>
        <w:instrText xml:space="preserve"> PAGEREF _Toc19565 </w:instrText>
      </w:r>
      <w:r>
        <w:fldChar w:fldCharType="separate"/>
      </w:r>
      <w:r>
        <w:t>33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_Toc6748 </w:instrText>
      </w:r>
      <w:r>
        <w:rPr>
          <w:rFonts w:eastAsiaTheme="minorEastAsia"/>
        </w:rPr>
        <w:fldChar w:fldCharType="separate"/>
      </w:r>
      <w:r>
        <w:rPr>
          <w:rFonts w:hint="default" w:ascii="Times New Roman" w:hAnsi="Times New Roman" w:eastAsiaTheme="minorEastAsia"/>
          <w:szCs w:val="24"/>
          <w:lang w:val="zh-TW" w:eastAsia="zh-TW"/>
        </w:rPr>
        <w:t xml:space="preserve">5.2 </w:t>
      </w:r>
      <w:r>
        <w:rPr>
          <w:rFonts w:ascii="Times New Roman" w:hAnsi="Times New Roman" w:eastAsiaTheme="minorEastAsia"/>
          <w:szCs w:val="24"/>
          <w:lang w:val="zh-TW" w:eastAsia="zh-TW"/>
        </w:rPr>
        <w:t>样品采集拟采用样品管的抗凝剂</w:t>
      </w:r>
      <w:r>
        <w:tab/>
      </w:r>
      <w:r>
        <w:fldChar w:fldCharType="begin"/>
      </w:r>
      <w:r>
        <w:instrText xml:space="preserve"> PAGEREF _Toc6748 </w:instrText>
      </w:r>
      <w:r>
        <w:fldChar w:fldCharType="separate"/>
      </w:r>
      <w:r>
        <w:t>33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_Toc8681 </w:instrText>
      </w:r>
      <w:r>
        <w:rPr>
          <w:rFonts w:eastAsiaTheme="minorEastAsia"/>
        </w:rPr>
        <w:fldChar w:fldCharType="separate"/>
      </w:r>
      <w:r>
        <w:rPr>
          <w:rFonts w:hint="default" w:ascii="Times New Roman" w:hAnsi="Times New Roman" w:eastAsiaTheme="minorEastAsia"/>
          <w:szCs w:val="24"/>
          <w:lang w:val="zh-TW" w:eastAsia="zh-TW"/>
        </w:rPr>
        <w:t xml:space="preserve">5.3 </w:t>
      </w:r>
      <w:r>
        <w:rPr>
          <w:rFonts w:ascii="Times New Roman" w:hAnsi="Times New Roman" w:eastAsiaTheme="minorEastAsia"/>
          <w:szCs w:val="24"/>
          <w:lang w:val="zh-TW" w:eastAsia="zh-CN"/>
        </w:rPr>
        <w:t>采血管</w:t>
      </w:r>
      <w:r>
        <w:rPr>
          <w:rFonts w:ascii="Times New Roman" w:hAnsi="Times New Roman" w:eastAsiaTheme="minorEastAsia"/>
          <w:szCs w:val="24"/>
          <w:lang w:val="zh-TW" w:eastAsia="zh-TW"/>
        </w:rPr>
        <w:t>及测试管的标</w:t>
      </w:r>
      <w:r>
        <w:rPr>
          <w:rFonts w:ascii="Times New Roman" w:hAnsi="Times New Roman" w:eastAsiaTheme="minorEastAsia"/>
          <w:szCs w:val="24"/>
          <w:lang w:val="zh-TW" w:eastAsia="zh-CN"/>
        </w:rPr>
        <w:t>签</w:t>
      </w:r>
      <w:r>
        <w:rPr>
          <w:rFonts w:ascii="Times New Roman" w:hAnsi="Times New Roman" w:eastAsiaTheme="minorEastAsia"/>
          <w:szCs w:val="24"/>
          <w:lang w:val="zh-TW" w:eastAsia="zh-TW"/>
        </w:rPr>
        <w:t>式样</w:t>
      </w:r>
      <w:r>
        <w:tab/>
      </w:r>
      <w:r>
        <w:fldChar w:fldCharType="begin"/>
      </w:r>
      <w:r>
        <w:instrText xml:space="preserve"> PAGEREF _Toc8681 </w:instrText>
      </w:r>
      <w:r>
        <w:fldChar w:fldCharType="separate"/>
      </w:r>
      <w:r>
        <w:t>33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_Toc24035 </w:instrText>
      </w:r>
      <w:r>
        <w:rPr>
          <w:rFonts w:eastAsiaTheme="minorEastAsia"/>
        </w:rPr>
        <w:fldChar w:fldCharType="separate"/>
      </w:r>
      <w:r>
        <w:rPr>
          <w:rFonts w:hint="default" w:ascii="Times New Roman" w:hAnsi="Times New Roman" w:eastAsiaTheme="minorEastAsia"/>
          <w:szCs w:val="24"/>
          <w:lang w:val="zh-TW" w:eastAsia="zh-TW"/>
        </w:rPr>
        <w:t xml:space="preserve">5.4 </w:t>
      </w:r>
      <w:r>
        <w:rPr>
          <w:rFonts w:ascii="Times New Roman" w:hAnsi="Times New Roman" w:eastAsiaTheme="minorEastAsia"/>
          <w:szCs w:val="24"/>
          <w:lang w:val="zh-TW" w:eastAsia="zh-TW"/>
        </w:rPr>
        <w:t>样品采集后的预处理方法及运输、保存条件</w:t>
      </w:r>
      <w:r>
        <w:tab/>
      </w:r>
      <w:r>
        <w:fldChar w:fldCharType="begin"/>
      </w:r>
      <w:r>
        <w:instrText xml:space="preserve"> PAGEREF _Toc24035 </w:instrText>
      </w:r>
      <w:r>
        <w:fldChar w:fldCharType="separate"/>
      </w:r>
      <w:r>
        <w:t>33</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_Toc32255 </w:instrText>
      </w:r>
      <w:r>
        <w:rPr>
          <w:rFonts w:eastAsiaTheme="minorEastAsia"/>
        </w:rPr>
        <w:fldChar w:fldCharType="separate"/>
      </w:r>
      <w:r>
        <w:rPr>
          <w:rFonts w:hint="eastAsia" w:cs="宋体" w:eastAsiaTheme="minorEastAsia"/>
          <w:szCs w:val="24"/>
          <w:lang w:val="en-US" w:eastAsia="zh-CN"/>
        </w:rPr>
        <w:t>6</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TW"/>
        </w:rPr>
        <w:t>药物浓度检测</w:t>
      </w:r>
      <w:r>
        <w:tab/>
      </w:r>
      <w:r>
        <w:fldChar w:fldCharType="begin"/>
      </w:r>
      <w:r>
        <w:instrText xml:space="preserve"> PAGEREF _Toc32255 </w:instrText>
      </w:r>
      <w:r>
        <w:fldChar w:fldCharType="separate"/>
      </w:r>
      <w:r>
        <w:t>34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_Toc32193 </w:instrText>
      </w:r>
      <w:r>
        <w:rPr>
          <w:rFonts w:eastAsiaTheme="minorEastAsia"/>
        </w:rPr>
        <w:fldChar w:fldCharType="separate"/>
      </w:r>
      <w:r>
        <w:rPr>
          <w:rFonts w:hint="default" w:ascii="Times New Roman" w:hAnsi="Times New Roman" w:eastAsiaTheme="minorEastAsia"/>
          <w:szCs w:val="24"/>
          <w:lang w:val="zh-TW" w:eastAsia="zh-TW"/>
        </w:rPr>
        <w:t xml:space="preserve">6.1 </w:t>
      </w:r>
      <w:r>
        <w:rPr>
          <w:rFonts w:ascii="Times New Roman" w:hAnsi="Times New Roman" w:eastAsiaTheme="minorEastAsia"/>
          <w:szCs w:val="24"/>
          <w:lang w:val="zh-TW" w:eastAsia="zh-TW"/>
        </w:rPr>
        <w:t>样品采集时间点设置及拟采集样本量</w:t>
      </w:r>
      <w:r>
        <w:tab/>
      </w:r>
      <w:r>
        <w:fldChar w:fldCharType="begin"/>
      </w:r>
      <w:r>
        <w:instrText xml:space="preserve"> PAGEREF _Toc32193 </w:instrText>
      </w:r>
      <w:r>
        <w:fldChar w:fldCharType="separate"/>
      </w:r>
      <w:r>
        <w:t>34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_Toc2478 </w:instrText>
      </w:r>
      <w:r>
        <w:rPr>
          <w:rFonts w:eastAsiaTheme="minorEastAsia"/>
        </w:rPr>
        <w:fldChar w:fldCharType="separate"/>
      </w:r>
      <w:r>
        <w:rPr>
          <w:rFonts w:hint="default" w:ascii="Times New Roman" w:hAnsi="Times New Roman" w:eastAsiaTheme="minorEastAsia"/>
          <w:szCs w:val="24"/>
          <w:lang w:val="zh-TW" w:eastAsia="zh-TW"/>
        </w:rPr>
        <w:t xml:space="preserve">6.2 </w:t>
      </w:r>
      <w:r>
        <w:rPr>
          <w:rFonts w:ascii="Times New Roman" w:hAnsi="Times New Roman" w:eastAsiaTheme="minorEastAsia"/>
          <w:szCs w:val="24"/>
          <w:lang w:val="zh-TW" w:eastAsia="zh-TW"/>
        </w:rPr>
        <w:t>样品分析方法</w:t>
      </w:r>
      <w:r>
        <w:tab/>
      </w:r>
      <w:r>
        <w:fldChar w:fldCharType="begin"/>
      </w:r>
      <w:r>
        <w:instrText xml:space="preserve"> PAGEREF _Toc2478 </w:instrText>
      </w:r>
      <w:r>
        <w:fldChar w:fldCharType="separate"/>
      </w:r>
      <w:r>
        <w:t>35</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_Toc19399 </w:instrText>
      </w:r>
      <w:r>
        <w:rPr>
          <w:rFonts w:eastAsiaTheme="minorEastAsia"/>
        </w:rPr>
        <w:fldChar w:fldCharType="separate"/>
      </w:r>
      <w:r>
        <w:rPr>
          <w:rFonts w:hint="eastAsia" w:cs="宋体" w:eastAsiaTheme="minorEastAsia"/>
          <w:szCs w:val="24"/>
          <w:lang w:val="en-US" w:eastAsia="zh-CN"/>
        </w:rPr>
        <w:t>7</w:t>
      </w:r>
      <w:r>
        <w:rPr>
          <w:rFonts w:hint="default" w:ascii="Times New Roman" w:hAnsi="Times New Roman" w:cs="宋体" w:eastAsiaTheme="minorEastAsia"/>
          <w:szCs w:val="24"/>
          <w:lang w:eastAsia="zh-CN"/>
        </w:rPr>
        <w:t xml:space="preserve"> </w:t>
      </w:r>
      <w:r>
        <w:rPr>
          <w:rFonts w:ascii="Times New Roman" w:hAnsi="Times New Roman" w:eastAsiaTheme="minorEastAsia"/>
          <w:szCs w:val="24"/>
          <w:lang w:val="zh-TW" w:eastAsia="zh-TW"/>
        </w:rPr>
        <w:t>药代参数和安全性评价指标</w:t>
      </w:r>
      <w:r>
        <w:tab/>
      </w:r>
      <w:r>
        <w:fldChar w:fldCharType="begin"/>
      </w:r>
      <w:r>
        <w:instrText xml:space="preserve"> PAGEREF _Toc19399 </w:instrText>
      </w:r>
      <w:r>
        <w:fldChar w:fldCharType="separate"/>
      </w:r>
      <w:r>
        <w:t>36</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_Toc381 </w:instrText>
      </w:r>
      <w:r>
        <w:rPr>
          <w:rFonts w:eastAsiaTheme="minorEastAsia"/>
        </w:rPr>
        <w:fldChar w:fldCharType="separate"/>
      </w:r>
      <w:r>
        <w:rPr>
          <w:rFonts w:hint="default" w:ascii="Times New Roman" w:hAnsi="Times New Roman" w:eastAsiaTheme="minorEastAsia"/>
          <w:szCs w:val="24"/>
          <w:lang w:val="zh-TW" w:eastAsia="zh-TW"/>
        </w:rPr>
        <w:t xml:space="preserve">7.1 </w:t>
      </w:r>
      <w:r>
        <w:rPr>
          <w:rFonts w:ascii="Times New Roman" w:hAnsi="Times New Roman" w:eastAsiaTheme="minorEastAsia"/>
          <w:szCs w:val="24"/>
          <w:lang w:val="zh-TW" w:eastAsia="zh-TW"/>
        </w:rPr>
        <w:t>用于评价的药代参数</w:t>
      </w:r>
      <w:r>
        <w:tab/>
      </w:r>
      <w:r>
        <w:fldChar w:fldCharType="begin"/>
      </w:r>
      <w:r>
        <w:instrText xml:space="preserve"> PAGEREF _Toc381 </w:instrText>
      </w:r>
      <w:r>
        <w:fldChar w:fldCharType="separate"/>
      </w:r>
      <w:r>
        <w:t>36</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_Toc25973 </w:instrText>
      </w:r>
      <w:r>
        <w:rPr>
          <w:rFonts w:eastAsiaTheme="minorEastAsia"/>
        </w:rPr>
        <w:fldChar w:fldCharType="separate"/>
      </w:r>
      <w:r>
        <w:rPr>
          <w:rFonts w:hint="default" w:ascii="Times New Roman" w:hAnsi="Times New Roman" w:eastAsiaTheme="minorEastAsia"/>
          <w:szCs w:val="24"/>
          <w:lang w:val="zh-TW" w:eastAsia="zh-TW"/>
        </w:rPr>
        <w:t xml:space="preserve">7.2 </w:t>
      </w:r>
      <w:r>
        <w:rPr>
          <w:rFonts w:ascii="Times New Roman" w:hAnsi="Times New Roman" w:eastAsiaTheme="minorEastAsia"/>
          <w:szCs w:val="24"/>
          <w:lang w:val="zh-TW" w:eastAsia="zh-TW"/>
        </w:rPr>
        <w:t>安全性评价指标</w:t>
      </w:r>
      <w:r>
        <w:tab/>
      </w:r>
      <w:r>
        <w:fldChar w:fldCharType="begin"/>
      </w:r>
      <w:r>
        <w:instrText xml:space="preserve"> PAGEREF _Toc25973 </w:instrText>
      </w:r>
      <w:r>
        <w:fldChar w:fldCharType="separate"/>
      </w:r>
      <w:r>
        <w:t>36</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_Toc12017 </w:instrText>
      </w:r>
      <w:r>
        <w:rPr>
          <w:rFonts w:eastAsiaTheme="minorEastAsia"/>
        </w:rPr>
        <w:fldChar w:fldCharType="separate"/>
      </w:r>
      <w:r>
        <w:rPr>
          <w:rFonts w:hint="default" w:ascii="Times New Roman" w:hAnsi="Times New Roman" w:eastAsiaTheme="minorEastAsia"/>
          <w:szCs w:val="24"/>
          <w:lang w:val="zh-TW" w:eastAsia="zh-TW"/>
        </w:rPr>
        <w:t xml:space="preserve">7.3 </w:t>
      </w:r>
      <w:r>
        <w:rPr>
          <w:rFonts w:ascii="Times New Roman" w:hAnsi="Times New Roman" w:eastAsiaTheme="minorEastAsia"/>
          <w:szCs w:val="24"/>
          <w:lang w:val="zh-TW" w:eastAsia="zh-TW"/>
        </w:rPr>
        <w:t>不良事件和严重不良事件评估</w:t>
      </w:r>
      <w:r>
        <w:tab/>
      </w:r>
      <w:r>
        <w:fldChar w:fldCharType="begin"/>
      </w:r>
      <w:r>
        <w:instrText xml:space="preserve"> PAGEREF _Toc12017 </w:instrText>
      </w:r>
      <w:r>
        <w:fldChar w:fldCharType="separate"/>
      </w:r>
      <w:r>
        <w:t>36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_Toc9284 </w:instrText>
      </w:r>
      <w:r>
        <w:rPr>
          <w:rFonts w:eastAsiaTheme="minorEastAsia"/>
        </w:rPr>
        <w:fldChar w:fldCharType="separate"/>
      </w:r>
      <w:r>
        <w:rPr>
          <w:rFonts w:hint="eastAsia" w:eastAsiaTheme="minorEastAsia"/>
        </w:rPr>
        <w:t xml:space="preserve">7.3.1 </w:t>
      </w:r>
      <w:r>
        <w:rPr>
          <w:rFonts w:eastAsiaTheme="minorEastAsia"/>
        </w:rPr>
        <w:t>不良事件的定义</w:t>
      </w:r>
      <w:r>
        <w:tab/>
      </w:r>
      <w:r>
        <w:fldChar w:fldCharType="begin"/>
      </w:r>
      <w:r>
        <w:instrText xml:space="preserve"> PAGEREF _Toc9284 </w:instrText>
      </w:r>
      <w:r>
        <w:fldChar w:fldCharType="separate"/>
      </w:r>
      <w:r>
        <w:t>36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_Toc31020 </w:instrText>
      </w:r>
      <w:r>
        <w:rPr>
          <w:rFonts w:eastAsiaTheme="minorEastAsia"/>
        </w:rPr>
        <w:fldChar w:fldCharType="separate"/>
      </w:r>
      <w:r>
        <w:rPr>
          <w:rFonts w:hint="eastAsia" w:eastAsiaTheme="minorEastAsia"/>
        </w:rPr>
        <w:t xml:space="preserve">7.3.2 </w:t>
      </w:r>
      <w:r>
        <w:rPr>
          <w:rFonts w:eastAsiaTheme="minorEastAsia"/>
        </w:rPr>
        <w:t>获取不良事件信息</w:t>
      </w:r>
      <w:r>
        <w:tab/>
      </w:r>
      <w:r>
        <w:fldChar w:fldCharType="begin"/>
      </w:r>
      <w:r>
        <w:instrText xml:space="preserve"> PAGEREF _Toc31020 </w:instrText>
      </w:r>
      <w:r>
        <w:fldChar w:fldCharType="separate"/>
      </w:r>
      <w:r>
        <w:t>36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_Toc7487 </w:instrText>
      </w:r>
      <w:r>
        <w:rPr>
          <w:rFonts w:eastAsiaTheme="minorEastAsia"/>
        </w:rPr>
        <w:fldChar w:fldCharType="separate"/>
      </w:r>
      <w:r>
        <w:rPr>
          <w:rFonts w:hint="eastAsia" w:eastAsiaTheme="minorEastAsia"/>
        </w:rPr>
        <w:t xml:space="preserve">7.3.3 </w:t>
      </w:r>
      <w:r>
        <w:rPr>
          <w:rFonts w:eastAsiaTheme="minorEastAsia"/>
        </w:rPr>
        <w:t>不良事件记录</w:t>
      </w:r>
      <w:r>
        <w:tab/>
      </w:r>
      <w:r>
        <w:fldChar w:fldCharType="begin"/>
      </w:r>
      <w:r>
        <w:instrText xml:space="preserve"> PAGEREF _Toc7487 </w:instrText>
      </w:r>
      <w:r>
        <w:fldChar w:fldCharType="separate"/>
      </w:r>
      <w:r>
        <w:t>36</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_Toc17492 </w:instrText>
      </w:r>
      <w:r>
        <w:rPr>
          <w:rFonts w:eastAsiaTheme="minorEastAsia"/>
        </w:rPr>
        <w:fldChar w:fldCharType="separate"/>
      </w:r>
      <w:r>
        <w:rPr>
          <w:rFonts w:hint="eastAsia" w:eastAsiaTheme="minorEastAsia"/>
        </w:rPr>
        <w:t xml:space="preserve">7.3.4 </w:t>
      </w:r>
      <w:r>
        <w:rPr>
          <w:rFonts w:eastAsiaTheme="minorEastAsia"/>
        </w:rPr>
        <w:t>不良事件严重程度判定标准</w:t>
      </w:r>
      <w:r>
        <w:tab/>
      </w:r>
      <w:r>
        <w:fldChar w:fldCharType="begin"/>
      </w:r>
      <w:r>
        <w:instrText xml:space="preserve"> PAGEREF _Toc17492 </w:instrText>
      </w:r>
      <w:r>
        <w:fldChar w:fldCharType="separate"/>
      </w:r>
      <w:r>
        <w:t>37</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_Toc25113 </w:instrText>
      </w:r>
      <w:r>
        <w:rPr>
          <w:rFonts w:eastAsiaTheme="minorEastAsia"/>
        </w:rPr>
        <w:fldChar w:fldCharType="separate"/>
      </w:r>
      <w:r>
        <w:rPr>
          <w:rFonts w:hint="eastAsia" w:eastAsiaTheme="minorEastAsia"/>
        </w:rPr>
        <w:t xml:space="preserve">7.3.5 </w:t>
      </w:r>
      <w:r>
        <w:rPr>
          <w:rFonts w:eastAsiaTheme="minorEastAsia"/>
        </w:rPr>
        <w:t>不良事件与试验药物关系的判断标准</w:t>
      </w:r>
      <w:r>
        <w:tab/>
      </w:r>
      <w:r>
        <w:fldChar w:fldCharType="begin"/>
      </w:r>
      <w:r>
        <w:instrText xml:space="preserve"> PAGEREF _Toc25113 </w:instrText>
      </w:r>
      <w:r>
        <w:fldChar w:fldCharType="separate"/>
      </w:r>
      <w:r>
        <w:t>37</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_Toc10475 </w:instrText>
      </w:r>
      <w:r>
        <w:rPr>
          <w:rFonts w:eastAsiaTheme="minorEastAsia"/>
        </w:rPr>
        <w:fldChar w:fldCharType="separate"/>
      </w:r>
      <w:r>
        <w:rPr>
          <w:rFonts w:hint="eastAsia" w:eastAsiaTheme="minorEastAsia"/>
        </w:rPr>
        <w:t xml:space="preserve">7.3.6 </w:t>
      </w:r>
      <w:r>
        <w:rPr>
          <w:rFonts w:eastAsiaTheme="minorEastAsia"/>
        </w:rPr>
        <w:t>视为不良事件或严重不良事件的临床实验室检测异常和其他异常情况评估</w:t>
      </w:r>
      <w:r>
        <w:tab/>
      </w:r>
      <w:r>
        <w:fldChar w:fldCharType="begin"/>
      </w:r>
      <w:r>
        <w:instrText xml:space="preserve"> PAGEREF _Toc10475 </w:instrText>
      </w:r>
      <w:r>
        <w:fldChar w:fldCharType="separate"/>
      </w:r>
      <w:r>
        <w:t>38</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_Toc10367 </w:instrText>
      </w:r>
      <w:r>
        <w:rPr>
          <w:rFonts w:eastAsiaTheme="minorEastAsia"/>
        </w:rPr>
        <w:fldChar w:fldCharType="separate"/>
      </w:r>
      <w:r>
        <w:rPr>
          <w:rFonts w:hint="eastAsia" w:eastAsiaTheme="minorEastAsia"/>
        </w:rPr>
        <w:t xml:space="preserve">7.3.7 </w:t>
      </w:r>
      <w:r>
        <w:rPr>
          <w:rFonts w:eastAsiaTheme="minorEastAsia"/>
        </w:rPr>
        <w:t>不良事件处理</w:t>
      </w:r>
      <w:r>
        <w:tab/>
      </w:r>
      <w:r>
        <w:fldChar w:fldCharType="begin"/>
      </w:r>
      <w:r>
        <w:instrText xml:space="preserve"> PAGEREF _Toc10367 </w:instrText>
      </w:r>
      <w:r>
        <w:fldChar w:fldCharType="separate"/>
      </w:r>
      <w:r>
        <w:t>38</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_Toc20569 </w:instrText>
      </w:r>
      <w:r>
        <w:rPr>
          <w:rFonts w:eastAsiaTheme="minorEastAsia"/>
        </w:rPr>
        <w:fldChar w:fldCharType="separate"/>
      </w:r>
      <w:r>
        <w:rPr>
          <w:rFonts w:hint="eastAsia" w:eastAsiaTheme="minorEastAsia"/>
        </w:rPr>
        <w:t xml:space="preserve">7.3.8 </w:t>
      </w:r>
      <w:r>
        <w:rPr>
          <w:rFonts w:eastAsiaTheme="minorEastAsia"/>
        </w:rPr>
        <w:t>严重不良事件定义</w:t>
      </w:r>
      <w:r>
        <w:tab/>
      </w:r>
      <w:r>
        <w:fldChar w:fldCharType="begin"/>
      </w:r>
      <w:r>
        <w:instrText xml:space="preserve"> PAGEREF _Toc20569 </w:instrText>
      </w:r>
      <w:r>
        <w:fldChar w:fldCharType="separate"/>
      </w:r>
      <w:r>
        <w:t>38</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_Toc15612 </w:instrText>
      </w:r>
      <w:r>
        <w:rPr>
          <w:rFonts w:eastAsiaTheme="minorEastAsia"/>
        </w:rPr>
        <w:fldChar w:fldCharType="separate"/>
      </w:r>
      <w:r>
        <w:rPr>
          <w:rFonts w:hint="eastAsia" w:eastAsiaTheme="minorEastAsia"/>
        </w:rPr>
        <w:t xml:space="preserve">7.3.9 </w:t>
      </w:r>
      <w:r>
        <w:rPr>
          <w:rFonts w:eastAsiaTheme="minorEastAsia"/>
        </w:rPr>
        <w:t>非预期不良反应定义</w:t>
      </w:r>
      <w:r>
        <w:tab/>
      </w:r>
      <w:r>
        <w:fldChar w:fldCharType="begin"/>
      </w:r>
      <w:r>
        <w:instrText xml:space="preserve"> PAGEREF _Toc15612 </w:instrText>
      </w:r>
      <w:r>
        <w:fldChar w:fldCharType="separate"/>
      </w:r>
      <w:r>
        <w:t>38</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_Toc690 </w:instrText>
      </w:r>
      <w:r>
        <w:rPr>
          <w:rFonts w:eastAsiaTheme="minorEastAsia"/>
        </w:rPr>
        <w:fldChar w:fldCharType="separate"/>
      </w:r>
      <w:r>
        <w:rPr>
          <w:rFonts w:hint="eastAsia" w:eastAsiaTheme="minorEastAsia"/>
        </w:rPr>
        <w:t xml:space="preserve">7.3.10 </w:t>
      </w:r>
      <w:r>
        <w:rPr>
          <w:rFonts w:eastAsiaTheme="minorEastAsia"/>
        </w:rPr>
        <w:t>妊娠事件</w:t>
      </w:r>
      <w:r>
        <w:tab/>
      </w:r>
      <w:r>
        <w:fldChar w:fldCharType="begin"/>
      </w:r>
      <w:r>
        <w:instrText xml:space="preserve"> PAGEREF _Toc690 </w:instrText>
      </w:r>
      <w:r>
        <w:fldChar w:fldCharType="separate"/>
      </w:r>
      <w:r>
        <w:t>38</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_Toc9761 </w:instrText>
      </w:r>
      <w:r>
        <w:rPr>
          <w:rFonts w:eastAsiaTheme="minorEastAsia"/>
        </w:rPr>
        <w:fldChar w:fldCharType="separate"/>
      </w:r>
      <w:r>
        <w:rPr>
          <w:rFonts w:hint="eastAsia" w:eastAsiaTheme="minorEastAsia"/>
        </w:rPr>
        <w:t xml:space="preserve">7.3.11 </w:t>
      </w:r>
      <w:r>
        <w:rPr>
          <w:rFonts w:eastAsiaTheme="minorEastAsia"/>
        </w:rPr>
        <w:t>发生SAE时对受试者的处理</w:t>
      </w:r>
      <w:r>
        <w:tab/>
      </w:r>
      <w:r>
        <w:fldChar w:fldCharType="begin"/>
      </w:r>
      <w:r>
        <w:instrText xml:space="preserve"> PAGEREF _Toc9761 </w:instrText>
      </w:r>
      <w:r>
        <w:fldChar w:fldCharType="separate"/>
      </w:r>
      <w:r>
        <w:t>39</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_Toc22478 </w:instrText>
      </w:r>
      <w:r>
        <w:rPr>
          <w:rFonts w:eastAsiaTheme="minorEastAsia"/>
        </w:rPr>
        <w:fldChar w:fldCharType="separate"/>
      </w:r>
      <w:r>
        <w:rPr>
          <w:rFonts w:hint="eastAsia" w:eastAsiaTheme="minorEastAsia"/>
        </w:rPr>
        <w:t xml:space="preserve">7.3.12 </w:t>
      </w:r>
      <w:r>
        <w:rPr>
          <w:rFonts w:eastAsiaTheme="minorEastAsia"/>
        </w:rPr>
        <w:t>SAE的记录与报告</w:t>
      </w:r>
      <w:r>
        <w:tab/>
      </w:r>
      <w:r>
        <w:fldChar w:fldCharType="begin"/>
      </w:r>
      <w:r>
        <w:instrText xml:space="preserve"> PAGEREF _Toc22478 </w:instrText>
      </w:r>
      <w:r>
        <w:fldChar w:fldCharType="separate"/>
      </w:r>
      <w:r>
        <w:t>39</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_Toc16846 </w:instrText>
      </w:r>
      <w:r>
        <w:rPr>
          <w:rFonts w:eastAsiaTheme="minorEastAsia"/>
        </w:rPr>
        <w:fldChar w:fldCharType="separate"/>
      </w:r>
      <w:r>
        <w:rPr>
          <w:rFonts w:hint="eastAsia" w:cs="宋体" w:eastAsiaTheme="minorEastAsia"/>
          <w:szCs w:val="24"/>
          <w:lang w:val="en-US" w:eastAsia="zh-CN"/>
        </w:rPr>
        <w:t>8</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CN"/>
        </w:rPr>
        <w:t>数据管理和</w:t>
      </w:r>
      <w:r>
        <w:rPr>
          <w:rFonts w:ascii="Times New Roman" w:hAnsi="Times New Roman" w:eastAsiaTheme="minorEastAsia"/>
          <w:szCs w:val="24"/>
          <w:lang w:val="zh-TW" w:eastAsia="zh-TW"/>
        </w:rPr>
        <w:t>统计分析</w:t>
      </w:r>
      <w:r>
        <w:tab/>
      </w:r>
      <w:r>
        <w:fldChar w:fldCharType="begin"/>
      </w:r>
      <w:r>
        <w:instrText xml:space="preserve"> PAGEREF _Toc16846 </w:instrText>
      </w:r>
      <w:r>
        <w:fldChar w:fldCharType="separate"/>
      </w:r>
      <w:r>
        <w:t>40</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_Toc19941 </w:instrText>
      </w:r>
      <w:r>
        <w:rPr>
          <w:rFonts w:eastAsiaTheme="minorEastAsia"/>
        </w:rPr>
        <w:fldChar w:fldCharType="separate"/>
      </w:r>
      <w:r>
        <w:rPr>
          <w:rFonts w:hint="eastAsia" w:ascii="Times New Roman" w:hAnsi="Times New Roman" w:eastAsia="宋体"/>
          <w:szCs w:val="24"/>
          <w:lang w:val="zh-TW" w:eastAsia="zh-TW"/>
        </w:rPr>
        <w:t xml:space="preserve">8.1 </w:t>
      </w:r>
      <w:r>
        <w:rPr>
          <w:rFonts w:ascii="Times New Roman" w:hAnsi="Times New Roman" w:eastAsia="宋体"/>
          <w:szCs w:val="24"/>
          <w:lang w:val="zh-TW" w:eastAsia="zh-TW"/>
        </w:rPr>
        <w:t>数据管理</w:t>
      </w:r>
      <w:r>
        <w:tab/>
      </w:r>
      <w:r>
        <w:fldChar w:fldCharType="begin"/>
      </w:r>
      <w:r>
        <w:instrText xml:space="preserve"> PAGEREF _Toc19941 </w:instrText>
      </w:r>
      <w:r>
        <w:fldChar w:fldCharType="separate"/>
      </w:r>
      <w:r>
        <w:t>40</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_Toc23120 </w:instrText>
      </w:r>
      <w:r>
        <w:rPr>
          <w:rFonts w:eastAsiaTheme="minorEastAsia"/>
        </w:rPr>
        <w:fldChar w:fldCharType="separate"/>
      </w:r>
      <w:r>
        <w:rPr>
          <w:rFonts w:hint="eastAsia" w:ascii="Times New Roman" w:hAnsi="Times New Roman" w:eastAsia="宋体"/>
          <w:szCs w:val="24"/>
          <w:lang w:val="zh-TW" w:eastAsia="zh-TW"/>
        </w:rPr>
        <w:t xml:space="preserve">8.2 </w:t>
      </w:r>
      <w:r>
        <w:rPr>
          <w:rFonts w:ascii="Times New Roman" w:hAnsi="Times New Roman" w:eastAsia="宋体"/>
          <w:szCs w:val="24"/>
          <w:lang w:val="zh-TW" w:eastAsia="zh-TW"/>
        </w:rPr>
        <w:t>统计分析</w:t>
      </w:r>
      <w:r>
        <w:tab/>
      </w:r>
      <w:r>
        <w:fldChar w:fldCharType="begin"/>
      </w:r>
      <w:r>
        <w:instrText xml:space="preserve"> PAGEREF _Toc23120 </w:instrText>
      </w:r>
      <w:r>
        <w:fldChar w:fldCharType="separate"/>
      </w:r>
      <w:r>
        <w:t>41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_Toc5643 </w:instrText>
      </w:r>
      <w:r>
        <w:rPr>
          <w:rFonts w:eastAsiaTheme="minorEastAsia"/>
        </w:rPr>
        <w:fldChar w:fldCharType="separate"/>
      </w:r>
      <w:r>
        <w:rPr>
          <w:rFonts w:hint="eastAsia"/>
        </w:rPr>
        <w:t xml:space="preserve">8.2.1 </w:t>
      </w:r>
      <w:r>
        <w:t>分析人群</w:t>
      </w:r>
      <w:r>
        <w:tab/>
      </w:r>
      <w:r>
        <w:fldChar w:fldCharType="begin"/>
      </w:r>
      <w:r>
        <w:instrText xml:space="preserve"> PAGEREF _Toc5643 </w:instrText>
      </w:r>
      <w:r>
        <w:fldChar w:fldCharType="separate"/>
      </w:r>
      <w:r>
        <w:t>41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_Toc27941 </w:instrText>
      </w:r>
      <w:r>
        <w:rPr>
          <w:rFonts w:eastAsiaTheme="minorEastAsia"/>
        </w:rPr>
        <w:fldChar w:fldCharType="separate"/>
      </w:r>
      <w:r>
        <w:rPr>
          <w:rFonts w:hint="eastAsia"/>
        </w:rPr>
        <w:t xml:space="preserve">8.2.2 </w:t>
      </w:r>
      <w:r>
        <w:t>分析内容</w:t>
      </w:r>
      <w:r>
        <w:tab/>
      </w:r>
      <w:r>
        <w:fldChar w:fldCharType="begin"/>
      </w:r>
      <w:r>
        <w:instrText xml:space="preserve"> PAGEREF _Toc27941 </w:instrText>
      </w:r>
      <w:r>
        <w:fldChar w:fldCharType="separate"/>
      </w:r>
      <w:r>
        <w:t>41</w:t>
      </w:r>
      <w:r>
        <w:fldChar w:fldCharType="end"/>
      </w:r>
      <w:r>
        <w:rPr>
          <w:rFonts w:eastAsiaTheme="minorEastAsia"/>
        </w:rPr>
        <w:fldChar w:fldCharType="end"/>
      </w:r>
    </w:p>
    <w:p>
      <w:pPr>
        <w:pStyle w:val="11"/>
        <w:tabs>
          <w:tab w:val="right" w:leader="dot" w:pos="9019"/>
        </w:tabs>
      </w:pPr>
      <w:r>
        <w:rPr>
          <w:rFonts w:eastAsiaTheme="minorEastAsia"/>
        </w:rPr>
        <w:fldChar w:fldCharType="begin"/>
      </w:r>
      <w:r>
        <w:rPr>
          <w:rFonts w:eastAsiaTheme="minorEastAsia"/>
        </w:rPr>
        <w:instrText xml:space="preserve"> HYPERLINK \l _Toc30306 </w:instrText>
      </w:r>
      <w:r>
        <w:rPr>
          <w:rFonts w:eastAsiaTheme="minorEastAsia"/>
        </w:rPr>
        <w:fldChar w:fldCharType="separate"/>
      </w:r>
      <w:r>
        <w:rPr>
          <w:rFonts w:hint="eastAsia"/>
        </w:rPr>
        <w:t xml:space="preserve">8.2.3 </w:t>
      </w:r>
      <w:r>
        <w:t>分析软件与一般要求</w:t>
      </w:r>
      <w:r>
        <w:tab/>
      </w:r>
      <w:r>
        <w:fldChar w:fldCharType="begin"/>
      </w:r>
      <w:r>
        <w:instrText xml:space="preserve"> PAGEREF _Toc30306 </w:instrText>
      </w:r>
      <w:r>
        <w:fldChar w:fldCharType="separate"/>
      </w:r>
      <w:r>
        <w:t>43</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_Toc26302 </w:instrText>
      </w:r>
      <w:r>
        <w:rPr>
          <w:rFonts w:eastAsiaTheme="minorEastAsia"/>
        </w:rPr>
        <w:fldChar w:fldCharType="separate"/>
      </w:r>
      <w:r>
        <w:rPr>
          <w:rFonts w:hint="eastAsia" w:cs="宋体" w:eastAsiaTheme="minorEastAsia"/>
          <w:szCs w:val="24"/>
          <w:lang w:val="en-US" w:eastAsia="zh-CN"/>
        </w:rPr>
        <w:t>9</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TW"/>
        </w:rPr>
        <w:t>质量保证</w:t>
      </w:r>
      <w:r>
        <w:tab/>
      </w:r>
      <w:r>
        <w:fldChar w:fldCharType="begin"/>
      </w:r>
      <w:r>
        <w:instrText xml:space="preserve"> PAGEREF _Toc26302 </w:instrText>
      </w:r>
      <w:r>
        <w:fldChar w:fldCharType="separate"/>
      </w:r>
      <w:r>
        <w:t>43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_Toc2661 </w:instrText>
      </w:r>
      <w:r>
        <w:rPr>
          <w:rFonts w:eastAsiaTheme="minorEastAsia"/>
        </w:rPr>
        <w:fldChar w:fldCharType="separate"/>
      </w:r>
      <w:r>
        <w:rPr>
          <w:rFonts w:hint="default" w:ascii="Times New Roman" w:hAnsi="Times New Roman" w:eastAsia="宋体"/>
          <w:szCs w:val="24"/>
          <w:lang w:val="zh-TW" w:eastAsia="zh-TW"/>
        </w:rPr>
        <w:t xml:space="preserve">9.1 </w:t>
      </w:r>
      <w:r>
        <w:rPr>
          <w:rFonts w:ascii="Times New Roman" w:hAnsi="Times New Roman" w:eastAsia="宋体"/>
          <w:szCs w:val="24"/>
          <w:lang w:val="zh-TW" w:eastAsia="zh-TW"/>
        </w:rPr>
        <w:t>临床试验过程的质量保证</w:t>
      </w:r>
      <w:r>
        <w:tab/>
      </w:r>
      <w:r>
        <w:fldChar w:fldCharType="begin"/>
      </w:r>
      <w:r>
        <w:instrText xml:space="preserve"> PAGEREF _Toc2661 </w:instrText>
      </w:r>
      <w:r>
        <w:fldChar w:fldCharType="separate"/>
      </w:r>
      <w:r>
        <w:t>43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_Toc13932 </w:instrText>
      </w:r>
      <w:r>
        <w:rPr>
          <w:rFonts w:eastAsiaTheme="minorEastAsia"/>
        </w:rPr>
        <w:fldChar w:fldCharType="separate"/>
      </w:r>
      <w:r>
        <w:rPr>
          <w:rFonts w:hint="default" w:ascii="Times New Roman" w:hAnsi="Times New Roman" w:eastAsia="宋体"/>
          <w:szCs w:val="24"/>
          <w:lang w:val="zh-TW" w:eastAsia="zh-TW"/>
        </w:rPr>
        <w:t xml:space="preserve">9.2 </w:t>
      </w:r>
      <w:r>
        <w:rPr>
          <w:rFonts w:ascii="Times New Roman" w:hAnsi="Times New Roman" w:eastAsia="宋体"/>
          <w:szCs w:val="24"/>
          <w:lang w:val="zh-TW" w:eastAsia="zh-TW"/>
        </w:rPr>
        <w:t>样品检测过程的质量保证</w:t>
      </w:r>
      <w:r>
        <w:tab/>
      </w:r>
      <w:r>
        <w:fldChar w:fldCharType="begin"/>
      </w:r>
      <w:r>
        <w:instrText xml:space="preserve"> PAGEREF _Toc13932 </w:instrText>
      </w:r>
      <w:r>
        <w:fldChar w:fldCharType="separate"/>
      </w:r>
      <w:r>
        <w:t>43</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_Toc19920 </w:instrText>
      </w:r>
      <w:r>
        <w:rPr>
          <w:rFonts w:eastAsiaTheme="minorEastAsia"/>
        </w:rPr>
        <w:fldChar w:fldCharType="separate"/>
      </w:r>
      <w:r>
        <w:rPr>
          <w:rFonts w:hint="default" w:ascii="Times New Roman" w:hAnsi="Times New Roman" w:eastAsia="宋体"/>
          <w:szCs w:val="24"/>
          <w:lang w:val="zh-TW" w:eastAsia="zh-TW"/>
        </w:rPr>
        <w:t xml:space="preserve">9.3 </w:t>
      </w:r>
      <w:r>
        <w:rPr>
          <w:rFonts w:ascii="Times New Roman" w:hAnsi="Times New Roman" w:eastAsia="宋体"/>
          <w:szCs w:val="24"/>
          <w:lang w:val="zh-TW" w:eastAsia="zh-TW"/>
        </w:rPr>
        <w:t>数据转移、计算和报告过程的质量保证</w:t>
      </w:r>
      <w:r>
        <w:tab/>
      </w:r>
      <w:r>
        <w:fldChar w:fldCharType="begin"/>
      </w:r>
      <w:r>
        <w:instrText xml:space="preserve"> PAGEREF _Toc19920 </w:instrText>
      </w:r>
      <w:r>
        <w:fldChar w:fldCharType="separate"/>
      </w:r>
      <w:r>
        <w:t>44</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_Toc21485 </w:instrText>
      </w:r>
      <w:r>
        <w:rPr>
          <w:rFonts w:eastAsiaTheme="minorEastAsia"/>
        </w:rPr>
        <w:fldChar w:fldCharType="separate"/>
      </w:r>
      <w:r>
        <w:rPr>
          <w:rFonts w:hint="eastAsia" w:cs="宋体" w:eastAsiaTheme="minorEastAsia"/>
          <w:szCs w:val="24"/>
          <w:lang w:val="en-US" w:eastAsia="zh-CN"/>
        </w:rPr>
        <w:t>10</w:t>
      </w:r>
      <w:r>
        <w:rPr>
          <w:rFonts w:hint="default" w:ascii="Times New Roman" w:hAnsi="Times New Roman" w:cs="宋体" w:eastAsiaTheme="minorEastAsia"/>
          <w:szCs w:val="24"/>
          <w:lang w:eastAsia="zh-CN"/>
        </w:rPr>
        <w:t xml:space="preserve"> </w:t>
      </w:r>
      <w:r>
        <w:rPr>
          <w:rFonts w:ascii="Times New Roman" w:hAnsi="Times New Roman" w:eastAsiaTheme="minorEastAsia"/>
          <w:szCs w:val="24"/>
          <w:lang w:val="zh-TW" w:eastAsia="zh-TW"/>
        </w:rPr>
        <w:t>试验过程中的异常情况处理</w:t>
      </w:r>
      <w:r>
        <w:tab/>
      </w:r>
      <w:r>
        <w:fldChar w:fldCharType="begin"/>
      </w:r>
      <w:r>
        <w:instrText xml:space="preserve"> PAGEREF _Toc21485 </w:instrText>
      </w:r>
      <w:r>
        <w:fldChar w:fldCharType="separate"/>
      </w:r>
      <w:r>
        <w:t>44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_Toc16556 </w:instrText>
      </w:r>
      <w:r>
        <w:rPr>
          <w:rFonts w:eastAsiaTheme="minorEastAsia"/>
        </w:rPr>
        <w:fldChar w:fldCharType="separate"/>
      </w:r>
      <w:r>
        <w:rPr>
          <w:rFonts w:hint="default" w:ascii="Times New Roman" w:hAnsi="Times New Roman" w:eastAsiaTheme="minorEastAsia"/>
          <w:szCs w:val="24"/>
          <w:lang w:val="zh-TW" w:eastAsia="zh-TW"/>
        </w:rPr>
        <w:t xml:space="preserve">10.1 </w:t>
      </w:r>
      <w:r>
        <w:rPr>
          <w:rFonts w:ascii="Times New Roman" w:hAnsi="Times New Roman" w:eastAsiaTheme="minorEastAsia"/>
          <w:szCs w:val="24"/>
          <w:lang w:val="zh-TW" w:eastAsia="zh-TW"/>
        </w:rPr>
        <w:t>终止试验标准</w:t>
      </w:r>
      <w:r>
        <w:tab/>
      </w:r>
      <w:r>
        <w:fldChar w:fldCharType="begin"/>
      </w:r>
      <w:r>
        <w:instrText xml:space="preserve"> PAGEREF _Toc16556 </w:instrText>
      </w:r>
      <w:r>
        <w:fldChar w:fldCharType="separate"/>
      </w:r>
      <w:r>
        <w:t>44</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_Toc4441 </w:instrText>
      </w:r>
      <w:r>
        <w:rPr>
          <w:rFonts w:eastAsiaTheme="minorEastAsia"/>
        </w:rPr>
        <w:fldChar w:fldCharType="separate"/>
      </w:r>
      <w:r>
        <w:rPr>
          <w:rFonts w:hint="default" w:ascii="Times New Roman" w:hAnsi="Times New Roman" w:eastAsiaTheme="minorEastAsia"/>
          <w:szCs w:val="24"/>
          <w:lang w:val="zh-TW" w:eastAsia="zh-TW"/>
        </w:rPr>
        <w:t xml:space="preserve">10.2 </w:t>
      </w:r>
      <w:r>
        <w:rPr>
          <w:rFonts w:ascii="Times New Roman" w:hAnsi="Times New Roman" w:eastAsiaTheme="minorEastAsia"/>
          <w:szCs w:val="24"/>
          <w:lang w:val="zh-TW" w:eastAsia="zh-TW"/>
        </w:rPr>
        <w:t>方案偏离或违背</w:t>
      </w:r>
      <w:r>
        <w:tab/>
      </w:r>
      <w:r>
        <w:fldChar w:fldCharType="begin"/>
      </w:r>
      <w:r>
        <w:instrText xml:space="preserve"> PAGEREF _Toc4441 </w:instrText>
      </w:r>
      <w:r>
        <w:fldChar w:fldCharType="separate"/>
      </w:r>
      <w:r>
        <w:t>44</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_Toc24068 </w:instrText>
      </w:r>
      <w:r>
        <w:rPr>
          <w:rFonts w:eastAsiaTheme="minorEastAsia"/>
        </w:rPr>
        <w:fldChar w:fldCharType="separate"/>
      </w:r>
      <w:r>
        <w:rPr>
          <w:rFonts w:hint="default" w:ascii="Times New Roman" w:hAnsi="Times New Roman" w:cs="宋体" w:eastAsiaTheme="minorEastAsia"/>
          <w:szCs w:val="24"/>
        </w:rPr>
        <w:t>1</w:t>
      </w:r>
      <w:r>
        <w:rPr>
          <w:rFonts w:hint="eastAsia" w:cs="宋体" w:eastAsiaTheme="minorEastAsia"/>
          <w:szCs w:val="24"/>
          <w:lang w:val="en-US" w:eastAsia="zh-CN"/>
        </w:rPr>
        <w:t>1</w:t>
      </w:r>
      <w:r>
        <w:rPr>
          <w:rFonts w:hint="default" w:ascii="Times New Roman" w:hAnsi="Times New Roman" w:cs="宋体" w:eastAsiaTheme="minorEastAsia"/>
          <w:szCs w:val="24"/>
        </w:rPr>
        <w:t xml:space="preserve"> </w:t>
      </w:r>
      <w:r>
        <w:rPr>
          <w:rFonts w:ascii="Times New Roman" w:hAnsi="Times New Roman" w:eastAsiaTheme="minorEastAsia"/>
          <w:szCs w:val="24"/>
          <w:lang w:val="zh-TW" w:eastAsia="zh-TW"/>
        </w:rPr>
        <w:t>方案修订情况</w:t>
      </w:r>
      <w:r>
        <w:tab/>
      </w:r>
      <w:r>
        <w:fldChar w:fldCharType="begin"/>
      </w:r>
      <w:r>
        <w:instrText xml:space="preserve"> PAGEREF _Toc24068 </w:instrText>
      </w:r>
      <w:r>
        <w:fldChar w:fldCharType="separate"/>
      </w:r>
      <w:r>
        <w:t>45</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_Toc29085 </w:instrText>
      </w:r>
      <w:r>
        <w:rPr>
          <w:rFonts w:eastAsiaTheme="minorEastAsia"/>
        </w:rPr>
        <w:fldChar w:fldCharType="separate"/>
      </w:r>
      <w:r>
        <w:rPr>
          <w:rFonts w:hint="default" w:ascii="Times New Roman" w:hAnsi="Times New Roman" w:cs="宋体" w:eastAsiaTheme="minorEastAsia"/>
          <w:szCs w:val="24"/>
        </w:rPr>
        <w:t>1</w:t>
      </w:r>
      <w:r>
        <w:rPr>
          <w:rFonts w:hint="eastAsia" w:cs="宋体" w:eastAsiaTheme="minorEastAsia"/>
          <w:szCs w:val="24"/>
          <w:lang w:val="en-US" w:eastAsia="zh-CN"/>
        </w:rPr>
        <w:t>2</w:t>
      </w:r>
      <w:r>
        <w:rPr>
          <w:rFonts w:hint="default" w:ascii="Times New Roman" w:hAnsi="Times New Roman" w:cs="宋体" w:eastAsiaTheme="minorEastAsia"/>
          <w:szCs w:val="24"/>
        </w:rPr>
        <w:t xml:space="preserve"> </w:t>
      </w:r>
      <w:r>
        <w:rPr>
          <w:rFonts w:ascii="Times New Roman" w:hAnsi="Times New Roman" w:eastAsiaTheme="minorEastAsia"/>
          <w:szCs w:val="24"/>
          <w:lang w:val="zh-TW" w:eastAsia="zh-TW"/>
        </w:rPr>
        <w:t>伦理规范及知情同意</w:t>
      </w:r>
      <w:r>
        <w:tab/>
      </w:r>
      <w:r>
        <w:fldChar w:fldCharType="begin"/>
      </w:r>
      <w:r>
        <w:instrText xml:space="preserve"> PAGEREF _Toc29085 </w:instrText>
      </w:r>
      <w:r>
        <w:fldChar w:fldCharType="separate"/>
      </w:r>
      <w:r>
        <w:t>45</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_Toc26865 </w:instrText>
      </w:r>
      <w:r>
        <w:rPr>
          <w:rFonts w:eastAsiaTheme="minorEastAsia"/>
        </w:rPr>
        <w:fldChar w:fldCharType="separate"/>
      </w:r>
      <w:r>
        <w:rPr>
          <w:rFonts w:hint="eastAsia" w:ascii="Times New Roman" w:hAnsi="Times New Roman" w:eastAsiaTheme="minorEastAsia"/>
          <w:szCs w:val="24"/>
          <w:lang w:val="zh-TW" w:eastAsia="zh-TW"/>
        </w:rPr>
        <w:t xml:space="preserve">12.1 </w:t>
      </w:r>
      <w:r>
        <w:rPr>
          <w:rFonts w:ascii="Times New Roman" w:hAnsi="Times New Roman" w:eastAsiaTheme="minorEastAsia"/>
          <w:szCs w:val="24"/>
          <w:lang w:val="zh-TW" w:eastAsia="zh-TW"/>
        </w:rPr>
        <w:t>伦理规范</w:t>
      </w:r>
      <w:r>
        <w:tab/>
      </w:r>
      <w:r>
        <w:fldChar w:fldCharType="begin"/>
      </w:r>
      <w:r>
        <w:instrText xml:space="preserve"> PAGEREF _Toc26865 </w:instrText>
      </w:r>
      <w:r>
        <w:fldChar w:fldCharType="separate"/>
      </w:r>
      <w:r>
        <w:t>45</w:t>
      </w:r>
      <w:r>
        <w:fldChar w:fldCharType="end"/>
      </w:r>
      <w:r>
        <w:rPr>
          <w:rFonts w:eastAsiaTheme="minorEastAsia"/>
        </w:rPr>
        <w:fldChar w:fldCharType="end"/>
      </w:r>
    </w:p>
    <w:p>
      <w:pPr>
        <w:pStyle w:val="21"/>
        <w:tabs>
          <w:tab w:val="right" w:leader="dot" w:pos="9019"/>
        </w:tabs>
      </w:pPr>
      <w:r>
        <w:rPr>
          <w:rFonts w:eastAsiaTheme="minorEastAsia"/>
        </w:rPr>
        <w:fldChar w:fldCharType="begin"/>
      </w:r>
      <w:r>
        <w:rPr>
          <w:rFonts w:eastAsiaTheme="minorEastAsia"/>
        </w:rPr>
        <w:instrText xml:space="preserve"> HYPERLINK \l _Toc20424 </w:instrText>
      </w:r>
      <w:r>
        <w:rPr>
          <w:rFonts w:eastAsiaTheme="minorEastAsia"/>
        </w:rPr>
        <w:fldChar w:fldCharType="separate"/>
      </w:r>
      <w:r>
        <w:rPr>
          <w:rFonts w:hint="eastAsia" w:ascii="Times New Roman" w:hAnsi="Times New Roman" w:eastAsiaTheme="minorEastAsia"/>
          <w:szCs w:val="24"/>
          <w:lang w:val="zh-TW" w:eastAsia="zh-TW"/>
        </w:rPr>
        <w:t xml:space="preserve">12.2 </w:t>
      </w:r>
      <w:r>
        <w:rPr>
          <w:rFonts w:ascii="Times New Roman" w:hAnsi="Times New Roman" w:eastAsiaTheme="minorEastAsia"/>
          <w:szCs w:val="24"/>
          <w:lang w:val="zh-TW" w:eastAsia="zh-TW"/>
        </w:rPr>
        <w:t>知情同意</w:t>
      </w:r>
      <w:r>
        <w:tab/>
      </w:r>
      <w:r>
        <w:fldChar w:fldCharType="begin"/>
      </w:r>
      <w:r>
        <w:instrText xml:space="preserve"> PAGEREF _Toc20424 </w:instrText>
      </w:r>
      <w:r>
        <w:fldChar w:fldCharType="separate"/>
      </w:r>
      <w:r>
        <w:t>45</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_Toc19259 </w:instrText>
      </w:r>
      <w:r>
        <w:rPr>
          <w:rFonts w:eastAsiaTheme="minorEastAsia"/>
        </w:rPr>
        <w:fldChar w:fldCharType="separate"/>
      </w:r>
      <w:r>
        <w:rPr>
          <w:rFonts w:hint="default" w:ascii="Times New Roman" w:hAnsi="Times New Roman" w:cs="宋体" w:eastAsiaTheme="minorEastAsia"/>
          <w:szCs w:val="24"/>
        </w:rPr>
        <w:t>1</w:t>
      </w:r>
      <w:r>
        <w:rPr>
          <w:rFonts w:hint="eastAsia" w:cs="宋体" w:eastAsiaTheme="minorEastAsia"/>
          <w:szCs w:val="24"/>
          <w:lang w:val="en-US" w:eastAsia="zh-CN"/>
        </w:rPr>
        <w:t>3</w:t>
      </w:r>
      <w:r>
        <w:rPr>
          <w:rFonts w:hint="default" w:ascii="Times New Roman" w:hAnsi="Times New Roman" w:cs="宋体" w:eastAsiaTheme="minorEastAsia"/>
          <w:szCs w:val="24"/>
        </w:rPr>
        <w:t xml:space="preserve"> </w:t>
      </w:r>
      <w:r>
        <w:rPr>
          <w:rFonts w:ascii="Times New Roman" w:hAnsi="Times New Roman" w:eastAsiaTheme="minorEastAsia"/>
          <w:szCs w:val="24"/>
          <w:lang w:val="zh-TW" w:eastAsia="zh-TW"/>
        </w:rPr>
        <w:t>研究报告</w:t>
      </w:r>
      <w:r>
        <w:tab/>
      </w:r>
      <w:r>
        <w:fldChar w:fldCharType="begin"/>
      </w:r>
      <w:r>
        <w:instrText xml:space="preserve"> PAGEREF _Toc19259 </w:instrText>
      </w:r>
      <w:r>
        <w:fldChar w:fldCharType="separate"/>
      </w:r>
      <w:r>
        <w:t>46</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_Toc17836 </w:instrText>
      </w:r>
      <w:r>
        <w:rPr>
          <w:rFonts w:eastAsiaTheme="minorEastAsia"/>
        </w:rPr>
        <w:fldChar w:fldCharType="separate"/>
      </w:r>
      <w:r>
        <w:rPr>
          <w:rFonts w:hint="default" w:ascii="Times New Roman" w:hAnsi="Times New Roman" w:cs="宋体" w:eastAsiaTheme="minorEastAsia"/>
          <w:szCs w:val="24"/>
        </w:rPr>
        <w:t>1</w:t>
      </w:r>
      <w:r>
        <w:rPr>
          <w:rFonts w:hint="eastAsia" w:cs="宋体" w:eastAsiaTheme="minorEastAsia"/>
          <w:szCs w:val="24"/>
          <w:lang w:val="en-US" w:eastAsia="zh-CN"/>
        </w:rPr>
        <w:t>4</w:t>
      </w:r>
      <w:r>
        <w:rPr>
          <w:rFonts w:hint="default" w:ascii="Times New Roman" w:hAnsi="Times New Roman" w:cs="宋体" w:eastAsiaTheme="minorEastAsia"/>
          <w:szCs w:val="24"/>
        </w:rPr>
        <w:t xml:space="preserve"> </w:t>
      </w:r>
      <w:r>
        <w:rPr>
          <w:rFonts w:ascii="Times New Roman" w:hAnsi="Times New Roman" w:eastAsiaTheme="minorEastAsia"/>
          <w:szCs w:val="24"/>
          <w:lang w:val="zh-TW" w:eastAsia="zh-TW"/>
        </w:rPr>
        <w:t>资料的保存</w:t>
      </w:r>
      <w:r>
        <w:tab/>
      </w:r>
      <w:r>
        <w:fldChar w:fldCharType="begin"/>
      </w:r>
      <w:r>
        <w:instrText xml:space="preserve"> PAGEREF _Toc17836 </w:instrText>
      </w:r>
      <w:r>
        <w:fldChar w:fldCharType="separate"/>
      </w:r>
      <w:r>
        <w:t>46</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_Toc23019 </w:instrText>
      </w:r>
      <w:r>
        <w:rPr>
          <w:rFonts w:eastAsiaTheme="minorEastAsia"/>
        </w:rPr>
        <w:fldChar w:fldCharType="separate"/>
      </w:r>
      <w:r>
        <w:rPr>
          <w:rFonts w:hint="default" w:ascii="Times New Roman" w:hAnsi="Times New Roman" w:cs="宋体" w:eastAsiaTheme="minorEastAsia"/>
          <w:szCs w:val="24"/>
          <w:lang w:val="zh-TW" w:eastAsia="zh-TW"/>
        </w:rPr>
        <w:t>1</w:t>
      </w:r>
      <w:r>
        <w:rPr>
          <w:rFonts w:hint="eastAsia" w:cs="宋体" w:eastAsiaTheme="minorEastAsia"/>
          <w:szCs w:val="24"/>
          <w:lang w:val="en-US" w:eastAsia="zh-CN"/>
        </w:rPr>
        <w:t>5</w:t>
      </w:r>
      <w:r>
        <w:rPr>
          <w:rFonts w:hint="default" w:ascii="Times New Roman" w:hAnsi="Times New Roman" w:cs="宋体" w:eastAsiaTheme="minorEastAsia"/>
          <w:szCs w:val="24"/>
          <w:lang w:val="zh-TW" w:eastAsia="zh-TW"/>
        </w:rPr>
        <w:t xml:space="preserve"> </w:t>
      </w:r>
      <w:r>
        <w:rPr>
          <w:rFonts w:ascii="Times New Roman" w:hAnsi="Times New Roman" w:eastAsiaTheme="minorEastAsia"/>
          <w:szCs w:val="24"/>
          <w:lang w:val="zh-TW" w:eastAsia="zh-TW"/>
        </w:rPr>
        <w:t>参考文献</w:t>
      </w:r>
      <w:r>
        <w:tab/>
      </w:r>
      <w:r>
        <w:fldChar w:fldCharType="begin"/>
      </w:r>
      <w:r>
        <w:instrText xml:space="preserve"> PAGEREF _Toc23019 </w:instrText>
      </w:r>
      <w:r>
        <w:fldChar w:fldCharType="separate"/>
      </w:r>
      <w:r>
        <w:t>46</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_Toc29862 </w:instrText>
      </w:r>
      <w:r>
        <w:rPr>
          <w:rFonts w:eastAsiaTheme="minorEastAsia"/>
        </w:rPr>
        <w:fldChar w:fldCharType="separate"/>
      </w:r>
      <w:r>
        <w:rPr>
          <w:rFonts w:ascii="Times New Roman" w:hAnsi="Times New Roman" w:eastAsiaTheme="minorEastAsia"/>
          <w:szCs w:val="24"/>
          <w:lang w:val="zh-TW" w:eastAsia="zh-TW"/>
        </w:rPr>
        <w:t>附录</w:t>
      </w:r>
      <w:r>
        <w:rPr>
          <w:rFonts w:ascii="Times New Roman" w:hAnsi="Times New Roman" w:eastAsiaTheme="minorEastAsia"/>
          <w:szCs w:val="24"/>
          <w:lang w:eastAsia="zh-CN"/>
        </w:rPr>
        <w:t>1</w:t>
      </w:r>
      <w:r>
        <w:rPr>
          <w:rFonts w:ascii="Times New Roman" w:hAnsi="Times New Roman" w:eastAsiaTheme="minorEastAsia"/>
          <w:szCs w:val="24"/>
          <w:lang w:val="zh-TW" w:eastAsia="zh-TW"/>
        </w:rPr>
        <w:t>：临床实验室检查</w:t>
      </w:r>
      <w:r>
        <w:tab/>
      </w:r>
      <w:r>
        <w:fldChar w:fldCharType="begin"/>
      </w:r>
      <w:r>
        <w:instrText xml:space="preserve"> PAGEREF _Toc29862 </w:instrText>
      </w:r>
      <w:r>
        <w:fldChar w:fldCharType="separate"/>
      </w:r>
      <w:r>
        <w:t>47</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_Toc14206 </w:instrText>
      </w:r>
      <w:r>
        <w:rPr>
          <w:rFonts w:eastAsiaTheme="minorEastAsia"/>
        </w:rPr>
        <w:fldChar w:fldCharType="separate"/>
      </w:r>
      <w:r>
        <w:rPr>
          <w:rFonts w:ascii="Times New Roman" w:hAnsi="Times New Roman" w:eastAsiaTheme="minorEastAsia"/>
          <w:szCs w:val="24"/>
          <w:lang w:val="zh-TW" w:eastAsia="zh-TW"/>
        </w:rPr>
        <w:t>附录</w:t>
      </w:r>
      <w:r>
        <w:rPr>
          <w:rFonts w:ascii="Times New Roman" w:hAnsi="Times New Roman" w:eastAsiaTheme="minorEastAsia"/>
          <w:szCs w:val="24"/>
          <w:lang w:eastAsia="zh-CN"/>
        </w:rPr>
        <w:t>2</w:t>
      </w:r>
      <w:r>
        <w:rPr>
          <w:rFonts w:ascii="Times New Roman" w:hAnsi="Times New Roman" w:eastAsiaTheme="minorEastAsia"/>
          <w:szCs w:val="24"/>
          <w:lang w:val="zh-TW" w:eastAsia="zh-TW"/>
        </w:rPr>
        <w:t>：避孕措施、育龄女性的定义和避孕要求</w:t>
      </w:r>
      <w:r>
        <w:tab/>
      </w:r>
      <w:r>
        <w:fldChar w:fldCharType="begin"/>
      </w:r>
      <w:r>
        <w:instrText xml:space="preserve"> PAGEREF _Toc14206 </w:instrText>
      </w:r>
      <w:r>
        <w:fldChar w:fldCharType="separate"/>
      </w:r>
      <w:r>
        <w:t>48</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_Toc10634 </w:instrText>
      </w:r>
      <w:r>
        <w:rPr>
          <w:rFonts w:eastAsiaTheme="minorEastAsia"/>
        </w:rPr>
        <w:fldChar w:fldCharType="separate"/>
      </w:r>
      <w:r>
        <w:rPr>
          <w:rFonts w:ascii="Times New Roman" w:hAnsi="Times New Roman" w:eastAsiaTheme="minorEastAsia"/>
          <w:szCs w:val="24"/>
          <w:lang w:val="zh-TW" w:eastAsia="zh-TW"/>
        </w:rPr>
        <w:t>附录</w:t>
      </w:r>
      <w:r>
        <w:rPr>
          <w:rFonts w:ascii="Times New Roman" w:hAnsi="Times New Roman" w:eastAsiaTheme="minorEastAsia"/>
          <w:szCs w:val="24"/>
          <w:lang w:eastAsia="zh-CN"/>
        </w:rPr>
        <w:t>3</w:t>
      </w:r>
      <w:r>
        <w:rPr>
          <w:rFonts w:ascii="Times New Roman" w:hAnsi="Times New Roman" w:eastAsiaTheme="minorEastAsia"/>
          <w:szCs w:val="24"/>
          <w:lang w:val="zh-TW" w:eastAsia="zh-TW"/>
        </w:rPr>
        <w:t>：临床和实验室不良事件的处理</w:t>
      </w:r>
      <w:r>
        <w:tab/>
      </w:r>
      <w:r>
        <w:fldChar w:fldCharType="begin"/>
      </w:r>
      <w:r>
        <w:instrText xml:space="preserve"> PAGEREF _Toc10634 </w:instrText>
      </w:r>
      <w:r>
        <w:fldChar w:fldCharType="separate"/>
      </w:r>
      <w:r>
        <w:t>49</w:t>
      </w:r>
      <w:r>
        <w:fldChar w:fldCharType="end"/>
      </w:r>
      <w:r>
        <w:rPr>
          <w:rFonts w:eastAsiaTheme="minorEastAsia"/>
        </w:rPr>
        <w:fldChar w:fldCharType="end"/>
      </w:r>
    </w:p>
    <w:p>
      <w:pPr>
        <w:pStyle w:val="18"/>
        <w:tabs>
          <w:tab w:val="right" w:leader="dot" w:pos="9019"/>
        </w:tabs>
      </w:pPr>
      <w:r>
        <w:rPr>
          <w:rFonts w:eastAsiaTheme="minorEastAsia"/>
        </w:rPr>
        <w:fldChar w:fldCharType="begin"/>
      </w:r>
      <w:r>
        <w:rPr>
          <w:rFonts w:eastAsiaTheme="minorEastAsia"/>
        </w:rPr>
        <w:instrText xml:space="preserve"> HYPERLINK \l _Toc2202 </w:instrText>
      </w:r>
      <w:r>
        <w:rPr>
          <w:rFonts w:eastAsiaTheme="minorEastAsia"/>
        </w:rPr>
        <w:fldChar w:fldCharType="separate"/>
      </w:r>
      <w:r>
        <w:rPr>
          <w:rFonts w:ascii="Times New Roman" w:hAnsi="Times New Roman" w:eastAsiaTheme="minorEastAsia"/>
          <w:szCs w:val="24"/>
          <w:lang w:val="zh-TW" w:eastAsia="zh-TW"/>
        </w:rPr>
        <w:t>附录4：过敏性休克处理参考预案</w:t>
      </w:r>
      <w:r>
        <w:tab/>
      </w:r>
      <w:r>
        <w:fldChar w:fldCharType="begin"/>
      </w:r>
      <w:r>
        <w:instrText xml:space="preserve"> PAGEREF _Toc2202 </w:instrText>
      </w:r>
      <w:r>
        <w:fldChar w:fldCharType="separate"/>
      </w:r>
      <w:r>
        <w:t>50</w:t>
      </w:r>
      <w:r>
        <w:fldChar w:fldCharType="end"/>
      </w:r>
      <w:r>
        <w:rPr>
          <w:rFonts w:eastAsiaTheme="minorEastAsia"/>
        </w:rPr>
        <w:fldChar w:fldCharType="end"/>
      </w:r>
    </w:p>
    <w:p>
      <w:pPr>
        <w:widowControl w:val="0"/>
        <w:autoSpaceDE w:val="0"/>
        <w:autoSpaceDN w:val="0"/>
        <w:contextualSpacing/>
        <w:rPr>
          <w:rFonts w:eastAsiaTheme="minorEastAsia"/>
          <w:sz w:val="21"/>
          <w:szCs w:val="21"/>
          <w:lang w:eastAsia="zh-CN"/>
        </w:rPr>
      </w:pPr>
      <w:r>
        <w:rPr>
          <w:rFonts w:eastAsiaTheme="minorEastAsia"/>
        </w:rPr>
        <w:fldChar w:fldCharType="end"/>
      </w:r>
    </w:p>
    <w:p>
      <w:pPr>
        <w:pStyle w:val="3"/>
        <w:autoSpaceDE w:val="0"/>
        <w:autoSpaceDN w:val="0"/>
        <w:adjustRightInd w:val="0"/>
        <w:ind w:left="0" w:firstLine="0"/>
        <w:contextualSpacing/>
        <w:jc w:val="center"/>
        <w:outlineLvl w:val="0"/>
        <w:rPr>
          <w:rFonts w:ascii="Times New Roman" w:hAnsi="Times New Roman" w:cs="Times New Roman" w:eastAsiaTheme="minorEastAsia"/>
          <w:b/>
          <w:bCs/>
          <w:color w:val="auto"/>
          <w:sz w:val="28"/>
          <w:szCs w:val="28"/>
          <w:lang w:val="zh-TW"/>
        </w:rPr>
      </w:pPr>
      <w:bookmarkStart w:id="3" w:name="_Toc19039"/>
      <w:bookmarkStart w:id="4" w:name="_Toc460500081"/>
      <w:r>
        <w:rPr>
          <w:rFonts w:ascii="Times New Roman" w:hAnsi="Times New Roman" w:cs="Times New Roman" w:eastAsiaTheme="minorEastAsia"/>
          <w:b/>
          <w:bCs/>
          <w:color w:val="auto"/>
          <w:sz w:val="28"/>
          <w:szCs w:val="28"/>
          <w:lang w:val="zh-TW" w:eastAsia="zh-TW"/>
        </w:rPr>
        <w:br w:type="page"/>
      </w:r>
    </w:p>
    <w:p>
      <w:pPr>
        <w:pStyle w:val="3"/>
        <w:autoSpaceDE w:val="0"/>
        <w:autoSpaceDN w:val="0"/>
        <w:adjustRightInd w:val="0"/>
        <w:ind w:left="0" w:firstLine="0"/>
        <w:contextualSpacing/>
        <w:jc w:val="center"/>
        <w:outlineLvl w:val="0"/>
        <w:rPr>
          <w:rFonts w:ascii="Times New Roman" w:hAnsi="Times New Roman" w:cs="Times New Roman" w:eastAsiaTheme="minorEastAsia"/>
          <w:b/>
          <w:bCs/>
          <w:color w:val="auto"/>
          <w:sz w:val="28"/>
          <w:szCs w:val="28"/>
          <w:lang w:val="zh-TW" w:eastAsia="zh-TW"/>
        </w:rPr>
      </w:pPr>
      <w:bookmarkStart w:id="5" w:name="_Toc12460"/>
      <w:bookmarkStart w:id="6" w:name="_Toc521584528"/>
      <w:r>
        <w:rPr>
          <w:rFonts w:ascii="Times New Roman" w:hAnsi="Times New Roman" w:cs="Times New Roman" w:eastAsiaTheme="minorEastAsia"/>
          <w:b/>
          <w:bCs/>
          <w:color w:val="auto"/>
          <w:sz w:val="28"/>
          <w:szCs w:val="28"/>
          <w:lang w:val="zh-TW" w:eastAsia="zh-TW"/>
        </w:rPr>
        <w:t>方案摘要</w:t>
      </w:r>
      <w:bookmarkEnd w:id="3"/>
      <w:bookmarkEnd w:id="4"/>
      <w:bookmarkEnd w:id="5"/>
      <w:bookmarkEnd w:id="6"/>
    </w:p>
    <w:tbl>
      <w:tblPr>
        <w:tblStyle w:val="27"/>
        <w:tblW w:w="92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7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color w:val="auto"/>
              </w:rPr>
            </w:pPr>
            <w:bookmarkStart w:id="7" w:name="_Hlk496083270"/>
            <w:r>
              <w:rPr>
                <w:rFonts w:ascii="Times New Roman" w:hAnsi="Times New Roman" w:cs="Times New Roman" w:eastAsiaTheme="minorEastAsia"/>
                <w:b/>
                <w:bCs/>
                <w:color w:val="auto"/>
                <w:lang w:val="zh-TW" w:eastAsia="zh-TW"/>
              </w:rPr>
              <w:t>研究</w:t>
            </w:r>
            <w:r>
              <w:rPr>
                <w:rFonts w:ascii="Times New Roman" w:hAnsi="Times New Roman" w:cs="Times New Roman" w:eastAsiaTheme="minorEastAsia"/>
                <w:b/>
                <w:bCs/>
                <w:color w:val="auto"/>
                <w:lang w:val="zh-TW"/>
              </w:rPr>
              <w:t>名称</w:t>
            </w:r>
          </w:p>
        </w:tc>
        <w:tc>
          <w:tcPr>
            <w:tcW w:w="7610" w:type="dxa"/>
            <w:vAlign w:val="center"/>
          </w:tcPr>
          <w:p>
            <w:pPr>
              <w:widowControl w:val="0"/>
              <w:autoSpaceDE w:val="0"/>
              <w:autoSpaceDN w:val="0"/>
              <w:adjustRightInd w:val="0"/>
              <w:spacing w:line="348" w:lineRule="auto"/>
              <w:ind w:left="0" w:firstLine="0"/>
              <w:contextualSpacing/>
              <w:rPr>
                <w:rFonts w:eastAsiaTheme="minorEastAsia"/>
                <w:sz w:val="21"/>
                <w:szCs w:val="21"/>
                <w:lang w:val="zh-TW" w:eastAsia="zh-CN"/>
              </w:rPr>
            </w:pPr>
            <w:r>
              <w:rPr>
                <w:rFonts w:hint="eastAsia" w:eastAsiaTheme="minorEastAsia"/>
                <w:sz w:val="21"/>
                <w:szCs w:val="21"/>
                <w:lang w:eastAsia="zh-CN"/>
              </w:rPr>
              <w:t>健康志愿者空腹/餐后单次口服XXXXXX的随机、开放、两制剂、两周期交叉的人体生物等效性试验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rPr>
            </w:pPr>
            <w:r>
              <w:rPr>
                <w:rFonts w:ascii="Times New Roman" w:hAnsi="Times New Roman" w:cs="Times New Roman" w:eastAsiaTheme="minorEastAsia"/>
                <w:b/>
                <w:bCs/>
                <w:color w:val="auto"/>
                <w:lang w:val="zh-TW"/>
              </w:rPr>
              <w:t>研究</w:t>
            </w:r>
            <w:r>
              <w:rPr>
                <w:rFonts w:ascii="Times New Roman" w:hAnsi="Times New Roman" w:cs="Times New Roman" w:eastAsiaTheme="minorEastAsia"/>
                <w:b/>
                <w:bCs/>
                <w:color w:val="auto"/>
                <w:lang w:val="zh-TW" w:eastAsia="zh-TW"/>
              </w:rPr>
              <w:t>药物名称</w:t>
            </w:r>
          </w:p>
        </w:tc>
        <w:tc>
          <w:tcPr>
            <w:tcW w:w="7610" w:type="dxa"/>
            <w:vAlign w:val="center"/>
          </w:tcPr>
          <w:p>
            <w:pPr>
              <w:widowControl w:val="0"/>
              <w:autoSpaceDE w:val="0"/>
              <w:autoSpaceDN w:val="0"/>
              <w:adjustRightInd w:val="0"/>
              <w:spacing w:line="348" w:lineRule="auto"/>
              <w:ind w:left="0" w:firstLine="0"/>
              <w:contextualSpacing/>
              <w:rPr>
                <w:rFonts w:eastAsiaTheme="minorEastAsia"/>
                <w:sz w:val="21"/>
                <w:szCs w:val="21"/>
                <w:lang w:eastAsia="zh-TW"/>
              </w:rPr>
            </w:pPr>
            <w:r>
              <w:rPr>
                <w:rFonts w:hint="eastAsia" w:eastAsiaTheme="minorEastAsia"/>
                <w:sz w:val="21"/>
                <w:szCs w:val="21"/>
                <w:lang w:val="zh-TW"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bCs/>
                <w:kern w:val="2"/>
                <w:sz w:val="21"/>
                <w:szCs w:val="21"/>
                <w:u w:color="000000"/>
                <w:lang w:val="zh-TW" w:eastAsia="zh-TW"/>
              </w:rPr>
              <w:t>方案</w:t>
            </w:r>
            <w:r>
              <w:rPr>
                <w:rFonts w:hint="eastAsia" w:eastAsiaTheme="minorEastAsia"/>
                <w:b/>
                <w:bCs/>
                <w:kern w:val="2"/>
                <w:sz w:val="21"/>
                <w:szCs w:val="21"/>
                <w:u w:color="000000"/>
                <w:lang w:eastAsia="zh-CN"/>
              </w:rPr>
              <w:t>编</w:t>
            </w:r>
            <w:r>
              <w:rPr>
                <w:rFonts w:eastAsiaTheme="minorEastAsia"/>
                <w:b/>
                <w:bCs/>
                <w:kern w:val="2"/>
                <w:sz w:val="21"/>
                <w:szCs w:val="21"/>
                <w:u w:color="000000"/>
                <w:lang w:val="zh-TW" w:eastAsia="zh-TW"/>
              </w:rPr>
              <w:t>号</w:t>
            </w:r>
          </w:p>
        </w:tc>
        <w:tc>
          <w:tcPr>
            <w:tcW w:w="7610" w:type="dxa"/>
            <w:vAlign w:val="center"/>
          </w:tcPr>
          <w:p>
            <w:pPr>
              <w:pStyle w:val="3"/>
              <w:autoSpaceDE w:val="0"/>
              <w:autoSpaceDN w:val="0"/>
              <w:adjustRightInd w:val="0"/>
              <w:spacing w:line="348" w:lineRule="auto"/>
              <w:ind w:left="0" w:firstLine="0"/>
              <w:contextualSpacing/>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bCs/>
                <w:kern w:val="2"/>
                <w:sz w:val="21"/>
                <w:szCs w:val="21"/>
                <w:u w:color="000000"/>
                <w:lang w:val="zh-TW" w:eastAsia="zh-TW"/>
              </w:rPr>
              <w:t>申办单位</w:t>
            </w:r>
          </w:p>
        </w:tc>
        <w:tc>
          <w:tcPr>
            <w:tcW w:w="7610" w:type="dxa"/>
            <w:vAlign w:val="center"/>
          </w:tcPr>
          <w:p>
            <w:pPr>
              <w:pStyle w:val="3"/>
              <w:autoSpaceDE w:val="0"/>
              <w:autoSpaceDN w:val="0"/>
              <w:adjustRightInd w:val="0"/>
              <w:spacing w:line="348" w:lineRule="auto"/>
              <w:ind w:left="0" w:firstLine="0"/>
              <w:contextualSpacing/>
              <w:rPr>
                <w:rFonts w:ascii="Times New Roman" w:hAnsi="Times New Roman" w:cs="Times New Roman" w:eastAsiaTheme="minorEastAsia"/>
              </w:rPr>
            </w:pP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MERGEFIELD T申办方 </w:instrText>
            </w:r>
            <w:r>
              <w:rPr>
                <w:rFonts w:ascii="Times New Roman" w:hAnsi="Times New Roman" w:cs="Times New Roman" w:eastAsiaTheme="minorEastAsia"/>
              </w:rPr>
              <w:fldChar w:fldCharType="separate"/>
            </w:r>
            <w:r>
              <w:rPr>
                <w:rFonts w:hint="eastAsia" w:ascii="Times New Roman" w:hAnsi="Times New Roman" w:cs="Times New Roman" w:eastAsiaTheme="minorEastAsia"/>
                <w:lang w:eastAsia="zh-CN"/>
              </w:rPr>
              <w:t>XXXXXX</w:t>
            </w:r>
            <w:r>
              <w:rPr>
                <w:rFonts w:ascii="Times New Roman" w:hAnsi="Times New Roman" w:cs="Times New Roman"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bCs/>
                <w:kern w:val="2"/>
                <w:sz w:val="21"/>
                <w:szCs w:val="21"/>
                <w:u w:color="000000"/>
                <w:lang w:val="zh-TW" w:eastAsia="zh-CN"/>
              </w:rPr>
              <w:t>临床研究</w:t>
            </w:r>
            <w:r>
              <w:rPr>
                <w:rFonts w:eastAsiaTheme="minorEastAsia"/>
                <w:b/>
                <w:bCs/>
                <w:kern w:val="2"/>
                <w:sz w:val="21"/>
                <w:szCs w:val="21"/>
                <w:u w:color="000000"/>
                <w:lang w:val="zh-TW" w:eastAsia="zh-TW"/>
              </w:rPr>
              <w:t>单位</w:t>
            </w:r>
          </w:p>
        </w:tc>
        <w:tc>
          <w:tcPr>
            <w:tcW w:w="7610" w:type="dxa"/>
            <w:vAlign w:val="center"/>
          </w:tcPr>
          <w:p>
            <w:pPr>
              <w:widowControl w:val="0"/>
              <w:autoSpaceDE w:val="0"/>
              <w:autoSpaceDN w:val="0"/>
              <w:adjustRightInd w:val="0"/>
              <w:spacing w:line="348" w:lineRule="auto"/>
              <w:ind w:left="0" w:firstLine="0"/>
              <w:contextualSpacing/>
              <w:rPr>
                <w:rFonts w:eastAsiaTheme="minorEastAsia"/>
                <w:sz w:val="21"/>
                <w:szCs w:val="21"/>
                <w:lang w:eastAsia="zh-CN"/>
              </w:rPr>
            </w:pPr>
            <w:r>
              <w:rPr>
                <w:rFonts w:eastAsiaTheme="minorEastAsia"/>
                <w:sz w:val="21"/>
                <w:szCs w:val="21"/>
                <w:lang w:eastAsia="zh-CN"/>
              </w:rPr>
              <w:t>广州市番禺</w:t>
            </w:r>
            <w:r>
              <w:rPr>
                <w:rFonts w:hint="eastAsia" w:eastAsiaTheme="minorEastAsia"/>
                <w:sz w:val="21"/>
                <w:szCs w:val="21"/>
                <w:lang w:eastAsia="zh-CN"/>
              </w:rPr>
              <w:t>区</w:t>
            </w:r>
            <w:r>
              <w:rPr>
                <w:rFonts w:eastAsiaTheme="minorEastAsia"/>
                <w:sz w:val="21"/>
                <w:szCs w:val="21"/>
                <w:lang w:eastAsia="zh-CN"/>
              </w:rPr>
              <w:t>中心医院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主要研究者</w:t>
            </w:r>
          </w:p>
        </w:tc>
        <w:tc>
          <w:tcPr>
            <w:tcW w:w="7610" w:type="dxa"/>
            <w:vAlign w:val="center"/>
          </w:tcPr>
          <w:p>
            <w:pPr>
              <w:widowControl w:val="0"/>
              <w:autoSpaceDE w:val="0"/>
              <w:autoSpaceDN w:val="0"/>
              <w:adjustRightInd w:val="0"/>
              <w:spacing w:line="348" w:lineRule="auto"/>
              <w:ind w:left="0" w:firstLine="0"/>
              <w:contextualSpacing/>
              <w:rPr>
                <w:rFonts w:eastAsiaTheme="minorEastAsia"/>
                <w:color w:val="000000"/>
                <w:kern w:val="2"/>
                <w:sz w:val="21"/>
                <w:szCs w:val="21"/>
                <w:u w:color="000000"/>
                <w:lang w:eastAsia="zh-CN"/>
              </w:rPr>
            </w:pPr>
            <w:r>
              <w:rPr>
                <w:rFonts w:hint="eastAsia" w:eastAsiaTheme="minorEastAsia"/>
                <w:color w:val="000000"/>
                <w:kern w:val="2"/>
                <w:sz w:val="21"/>
                <w:szCs w:val="21"/>
                <w:u w:color="000000"/>
                <w:lang w:eastAsia="zh-CN"/>
              </w:rPr>
              <w:t>付喜花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eastAsia="zh-TW"/>
              </w:rPr>
              <w:t>试验目的</w:t>
            </w:r>
          </w:p>
        </w:tc>
        <w:tc>
          <w:tcPr>
            <w:tcW w:w="7610" w:type="dxa"/>
          </w:tcPr>
          <w:p>
            <w:pPr>
              <w:widowControl w:val="0"/>
              <w:autoSpaceDE w:val="0"/>
              <w:autoSpaceDN w:val="0"/>
              <w:adjustRightInd w:val="0"/>
              <w:spacing w:line="348" w:lineRule="auto"/>
              <w:ind w:left="0" w:firstLine="0"/>
              <w:contextualSpacing/>
              <w:jc w:val="left"/>
              <w:rPr>
                <w:b/>
                <w:bCs/>
                <w:sz w:val="21"/>
                <w:szCs w:val="21"/>
                <w:lang w:eastAsia="zh-CN"/>
              </w:rPr>
            </w:pPr>
            <w:r>
              <w:rPr>
                <w:rFonts w:hint="eastAsia"/>
                <w:b/>
                <w:bCs/>
                <w:sz w:val="21"/>
                <w:szCs w:val="21"/>
                <w:lang w:eastAsia="zh-CN"/>
              </w:rPr>
              <w:t>主要研究目的</w:t>
            </w:r>
          </w:p>
          <w:p>
            <w:pPr>
              <w:widowControl w:val="0"/>
              <w:autoSpaceDE w:val="0"/>
              <w:autoSpaceDN w:val="0"/>
              <w:adjustRightInd w:val="0"/>
              <w:spacing w:line="348" w:lineRule="auto"/>
              <w:ind w:left="0" w:firstLine="0"/>
              <w:contextualSpacing/>
              <w:jc w:val="left"/>
              <w:rPr>
                <w:sz w:val="21"/>
                <w:szCs w:val="21"/>
                <w:lang w:eastAsia="zh-TW"/>
              </w:rPr>
            </w:pPr>
            <w:r>
              <w:rPr>
                <w:sz w:val="21"/>
                <w:szCs w:val="21"/>
                <w:lang w:eastAsia="zh-TW"/>
              </w:rPr>
              <w:t>健康受试者空腹</w:t>
            </w:r>
            <w:r>
              <w:rPr>
                <w:rFonts w:hint="eastAsia"/>
                <w:sz w:val="21"/>
                <w:szCs w:val="21"/>
                <w:lang w:eastAsia="zh-CN"/>
              </w:rPr>
              <w:t>或</w:t>
            </w:r>
            <w:r>
              <w:rPr>
                <w:sz w:val="21"/>
                <w:szCs w:val="21"/>
                <w:lang w:eastAsia="zh-TW"/>
              </w:rPr>
              <w:t>餐后状态下，</w:t>
            </w:r>
            <w:r>
              <w:rPr>
                <w:rFonts w:hint="eastAsia"/>
                <w:sz w:val="21"/>
                <w:szCs w:val="21"/>
                <w:lang w:eastAsia="zh-CN"/>
              </w:rPr>
              <w:t>单次</w:t>
            </w:r>
            <w:r>
              <w:rPr>
                <w:sz w:val="21"/>
                <w:szCs w:val="21"/>
                <w:lang w:eastAsia="zh-CN"/>
              </w:rPr>
              <w:t>口服</w:t>
            </w:r>
            <w:r>
              <w:rPr>
                <w:rFonts w:hint="eastAsia"/>
                <w:sz w:val="21"/>
                <w:szCs w:val="21"/>
                <w:lang w:eastAsia="zh-CN"/>
              </w:rPr>
              <w:t>XXXXXX</w:t>
            </w:r>
            <w:r>
              <w:rPr>
                <w:sz w:val="21"/>
                <w:szCs w:val="21"/>
                <w:lang w:eastAsia="zh-TW"/>
              </w:rPr>
              <w:t>生产</w:t>
            </w:r>
            <w:r>
              <w:rPr>
                <w:sz w:val="21"/>
                <w:szCs w:val="21"/>
                <w:lang w:eastAsia="zh-CN"/>
              </w:rPr>
              <w:t>的受试制剂</w:t>
            </w:r>
            <w:r>
              <w:rPr>
                <w:sz w:val="21"/>
                <w:szCs w:val="21"/>
                <w:lang w:eastAsia="zh-TW"/>
              </w:rPr>
              <w:fldChar w:fldCharType="begin"/>
            </w:r>
            <w:r>
              <w:rPr>
                <w:sz w:val="21"/>
                <w:szCs w:val="21"/>
                <w:lang w:eastAsia="zh-TW"/>
              </w:rPr>
              <w:instrText xml:space="preserve"> MERGEFIELD  T受试制剂 </w:instrText>
            </w:r>
            <w:r>
              <w:rPr>
                <w:sz w:val="21"/>
                <w:szCs w:val="21"/>
                <w:lang w:eastAsia="zh-TW"/>
              </w:rPr>
              <w:fldChar w:fldCharType="separate"/>
            </w:r>
            <w:r>
              <w:rPr>
                <w:rFonts w:hint="eastAsia"/>
                <w:sz w:val="21"/>
                <w:szCs w:val="21"/>
                <w:lang w:eastAsia="zh-CN"/>
              </w:rPr>
              <w:t>XXXXXX</w:t>
            </w:r>
            <w:r>
              <w:rPr>
                <w:sz w:val="21"/>
                <w:szCs w:val="21"/>
                <w:lang w:eastAsia="zh-TW"/>
              </w:rPr>
              <w:fldChar w:fldCharType="end"/>
            </w:r>
            <w:r>
              <w:rPr>
                <w:sz w:val="21"/>
                <w:szCs w:val="21"/>
                <w:lang w:eastAsia="zh-CN"/>
              </w:rPr>
              <w:t>（</w:t>
            </w:r>
            <w:r>
              <w:rPr>
                <w:sz w:val="21"/>
                <w:szCs w:val="21"/>
                <w:lang w:eastAsia="zh-TW"/>
              </w:rPr>
              <w:t>规格：</w:t>
            </w:r>
            <w:r>
              <w:rPr>
                <w:sz w:val="21"/>
                <w:szCs w:val="21"/>
                <w:lang w:eastAsia="zh-TW"/>
              </w:rPr>
              <w:fldChar w:fldCharType="begin"/>
            </w:r>
            <w:r>
              <w:rPr>
                <w:sz w:val="21"/>
                <w:szCs w:val="21"/>
                <w:lang w:eastAsia="zh-TW"/>
              </w:rPr>
              <w:instrText xml:space="preserve"> MERGEFIELD  T规格 </w:instrText>
            </w:r>
            <w:r>
              <w:rPr>
                <w:sz w:val="21"/>
                <w:szCs w:val="21"/>
                <w:lang w:eastAsia="zh-TW"/>
              </w:rPr>
              <w:fldChar w:fldCharType="separate"/>
            </w:r>
            <w:r>
              <w:rPr>
                <w:rFonts w:hint="eastAsia"/>
                <w:sz w:val="21"/>
                <w:szCs w:val="21"/>
                <w:lang w:val="en-US" w:eastAsia="zh-CN"/>
              </w:rPr>
              <w:t>XX</w:t>
            </w:r>
            <w:r>
              <w:rPr>
                <w:sz w:val="21"/>
                <w:szCs w:val="21"/>
                <w:lang w:eastAsia="zh-TW"/>
              </w:rPr>
              <w:t>g/片</w:t>
            </w:r>
            <w:r>
              <w:rPr>
                <w:sz w:val="21"/>
                <w:szCs w:val="21"/>
                <w:lang w:eastAsia="zh-TW"/>
              </w:rPr>
              <w:fldChar w:fldCharType="end"/>
            </w:r>
            <w:r>
              <w:rPr>
                <w:sz w:val="21"/>
                <w:szCs w:val="21"/>
                <w:lang w:eastAsia="zh-TW"/>
              </w:rPr>
              <w:t>）</w:t>
            </w:r>
            <w:r>
              <w:rPr>
                <w:rFonts w:hint="eastAsia"/>
                <w:sz w:val="21"/>
                <w:szCs w:val="21"/>
                <w:lang w:eastAsia="zh-CN"/>
              </w:rPr>
              <w:t>或</w:t>
            </w:r>
            <w:r>
              <w:rPr>
                <w:rFonts w:hint="eastAsia"/>
                <w:color w:val="000000"/>
                <w:sz w:val="21"/>
                <w:szCs w:val="21"/>
                <w:lang w:val="en-US" w:eastAsia="zh-CN" w:bidi="ar"/>
              </w:rPr>
              <w:t>XXXXXX</w:t>
            </w:r>
            <w:r>
              <w:rPr>
                <w:color w:val="000000"/>
                <w:sz w:val="21"/>
                <w:szCs w:val="21"/>
                <w:lang w:eastAsia="zh-CN" w:bidi="ar"/>
              </w:rPr>
              <w:t>.</w:t>
            </w:r>
            <w:r>
              <w:rPr>
                <w:sz w:val="21"/>
                <w:szCs w:val="21"/>
                <w:lang w:eastAsia="zh-CN"/>
              </w:rPr>
              <w:t>生产的参比制剂</w:t>
            </w:r>
            <w:r>
              <w:rPr>
                <w:sz w:val="21"/>
                <w:szCs w:val="21"/>
              </w:rPr>
              <w:fldChar w:fldCharType="begin"/>
            </w:r>
            <w:r>
              <w:rPr>
                <w:sz w:val="21"/>
                <w:szCs w:val="21"/>
                <w:lang w:eastAsia="zh-CN"/>
              </w:rPr>
              <w:instrText xml:space="preserve"> MERGEFIELD  R参比制剂  \* MERGEFORMAT </w:instrText>
            </w:r>
            <w:r>
              <w:rPr>
                <w:sz w:val="21"/>
                <w:szCs w:val="21"/>
              </w:rPr>
              <w:fldChar w:fldCharType="separate"/>
            </w:r>
            <w:r>
              <w:rPr>
                <w:rFonts w:hint="eastAsia"/>
                <w:sz w:val="21"/>
                <w:szCs w:val="21"/>
                <w:lang w:eastAsia="zh-CN"/>
              </w:rPr>
              <w:t>XXXXXX</w:t>
            </w:r>
            <w:r>
              <w:rPr>
                <w:sz w:val="21"/>
                <w:szCs w:val="21"/>
                <w:lang w:eastAsia="zh-TW"/>
              </w:rPr>
              <w:fldChar w:fldCharType="end"/>
            </w:r>
            <w:r>
              <w:rPr>
                <w:sz w:val="21"/>
                <w:szCs w:val="21"/>
                <w:lang w:eastAsia="zh-CN"/>
              </w:rPr>
              <w:t>（商品名：</w:t>
            </w:r>
            <w:r>
              <w:rPr>
                <w:rFonts w:hint="eastAsia"/>
                <w:color w:val="000000"/>
                <w:sz w:val="21"/>
                <w:szCs w:val="21"/>
                <w:lang w:val="en-US" w:eastAsia="zh-CN" w:bidi="ar"/>
              </w:rPr>
              <w:t>XXX</w:t>
            </w:r>
            <w:r>
              <w:rPr>
                <w:sz w:val="21"/>
                <w:szCs w:val="21"/>
                <w:lang w:eastAsia="zh-CN"/>
              </w:rPr>
              <w:t>；规格：</w:t>
            </w:r>
            <w:r>
              <w:rPr>
                <w:rFonts w:hint="eastAsia"/>
                <w:sz w:val="21"/>
                <w:szCs w:val="21"/>
                <w:lang w:val="en-US" w:eastAsia="zh-CN"/>
              </w:rPr>
              <w:t>XX</w:t>
            </w:r>
            <w:r>
              <w:rPr>
                <w:sz w:val="21"/>
                <w:szCs w:val="21"/>
                <w:lang w:eastAsia="zh-CN"/>
              </w:rPr>
              <w:t>g/片）</w:t>
            </w:r>
            <w:r>
              <w:rPr>
                <w:sz w:val="21"/>
                <w:szCs w:val="21"/>
                <w:lang w:eastAsia="zh-TW"/>
              </w:rPr>
              <w:t>，</w:t>
            </w:r>
            <w:r>
              <w:rPr>
                <w:rFonts w:hint="eastAsia"/>
                <w:sz w:val="21"/>
                <w:szCs w:val="21"/>
                <w:lang w:eastAsia="zh-CN"/>
              </w:rPr>
              <w:t>分别</w:t>
            </w:r>
            <w:r>
              <w:rPr>
                <w:sz w:val="21"/>
                <w:szCs w:val="21"/>
                <w:lang w:eastAsia="zh-CN"/>
              </w:rPr>
              <w:t>考察空腹</w:t>
            </w:r>
            <w:r>
              <w:rPr>
                <w:rFonts w:hint="eastAsia"/>
                <w:sz w:val="21"/>
                <w:szCs w:val="21"/>
                <w:lang w:eastAsia="zh-CN"/>
              </w:rPr>
              <w:t>和</w:t>
            </w:r>
            <w:r>
              <w:rPr>
                <w:sz w:val="21"/>
                <w:szCs w:val="21"/>
                <w:lang w:eastAsia="zh-CN"/>
              </w:rPr>
              <w:t>餐后</w:t>
            </w:r>
            <w:r>
              <w:rPr>
                <w:rFonts w:hint="eastAsia"/>
                <w:sz w:val="21"/>
                <w:szCs w:val="21"/>
                <w:lang w:eastAsia="zh-CN"/>
              </w:rPr>
              <w:t>状态</w:t>
            </w:r>
            <w:r>
              <w:rPr>
                <w:sz w:val="21"/>
                <w:szCs w:val="21"/>
                <w:lang w:eastAsia="zh-CN"/>
              </w:rPr>
              <w:t>下</w:t>
            </w:r>
            <w:r>
              <w:rPr>
                <w:sz w:val="21"/>
                <w:szCs w:val="21"/>
                <w:lang w:eastAsia="zh-TW"/>
              </w:rPr>
              <w:t>受试制剂与参比制剂</w:t>
            </w:r>
            <w:r>
              <w:rPr>
                <w:sz w:val="21"/>
                <w:szCs w:val="21"/>
                <w:lang w:eastAsia="zh-CN"/>
              </w:rPr>
              <w:t>在健康受试者体内的药代动力学参数，</w:t>
            </w:r>
            <w:r>
              <w:rPr>
                <w:rFonts w:hint="eastAsia"/>
                <w:sz w:val="21"/>
                <w:szCs w:val="21"/>
                <w:lang w:eastAsia="zh-CN"/>
              </w:rPr>
              <w:t>评价两制剂的生物等效性</w:t>
            </w:r>
            <w:r>
              <w:rPr>
                <w:sz w:val="21"/>
                <w:szCs w:val="21"/>
                <w:lang w:eastAsia="zh-CN"/>
              </w:rPr>
              <w:t>。</w:t>
            </w:r>
          </w:p>
          <w:p>
            <w:pPr>
              <w:pStyle w:val="3"/>
              <w:spacing w:line="348" w:lineRule="auto"/>
              <w:contextualSpacing/>
              <w:rPr>
                <w:rFonts w:ascii="Times New Roman" w:hAnsi="Times New Roman" w:eastAsia="宋体" w:cs="Times New Roman"/>
                <w:b/>
                <w:bCs/>
                <w:color w:val="auto"/>
              </w:rPr>
            </w:pPr>
            <w:r>
              <w:rPr>
                <w:rFonts w:ascii="Times New Roman" w:hAnsi="Times New Roman" w:eastAsia="宋体" w:cs="Times New Roman"/>
                <w:b/>
                <w:bCs/>
                <w:color w:val="auto"/>
                <w:lang w:val="zh-TW" w:eastAsia="zh-TW"/>
              </w:rPr>
              <w:t>次要研究目的</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sz w:val="21"/>
                <w:szCs w:val="21"/>
                <w:lang w:eastAsia="zh-CN"/>
              </w:rPr>
              <w:t>考察</w:t>
            </w:r>
            <w:r>
              <w:rPr>
                <w:sz w:val="21"/>
                <w:szCs w:val="21"/>
                <w:lang w:val="zh-TW" w:eastAsia="zh-TW"/>
              </w:rPr>
              <w:t>受试制剂和参比制剂在健康受试者中的安全性。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总体设计</w:t>
            </w:r>
          </w:p>
        </w:tc>
        <w:tc>
          <w:tcPr>
            <w:tcW w:w="7610" w:type="dxa"/>
          </w:tcPr>
          <w:p>
            <w:pPr>
              <w:widowControl w:val="0"/>
              <w:autoSpaceDE w:val="0"/>
              <w:autoSpaceDN w:val="0"/>
              <w:adjustRightInd w:val="0"/>
              <w:spacing w:line="348" w:lineRule="auto"/>
              <w:ind w:left="0" w:firstLine="0"/>
              <w:contextualSpacing/>
              <w:jc w:val="left"/>
              <w:rPr>
                <w:rFonts w:eastAsiaTheme="minorEastAsia"/>
                <w:b/>
                <w:sz w:val="21"/>
                <w:szCs w:val="21"/>
                <w:lang w:eastAsia="zh-CN"/>
              </w:rPr>
            </w:pPr>
            <w:r>
              <w:rPr>
                <w:rFonts w:eastAsiaTheme="minorEastAsia"/>
                <w:sz w:val="21"/>
                <w:szCs w:val="21"/>
                <w:lang w:eastAsia="zh-TW"/>
              </w:rPr>
              <w:t>采用</w:t>
            </w:r>
            <w:r>
              <w:rPr>
                <w:rFonts w:eastAsiaTheme="minorEastAsia"/>
                <w:sz w:val="21"/>
                <w:szCs w:val="21"/>
                <w:lang w:val="zh-TW" w:eastAsia="zh-CN"/>
              </w:rPr>
              <w:t>随机、开放、单剂量、两制剂、</w:t>
            </w:r>
            <w:r>
              <w:rPr>
                <w:rFonts w:hint="eastAsia" w:eastAsiaTheme="minorEastAsia"/>
                <w:sz w:val="21"/>
                <w:szCs w:val="21"/>
                <w:lang w:eastAsia="zh-CN"/>
              </w:rPr>
              <w:t>两周期交叉</w:t>
            </w:r>
            <w:r>
              <w:rPr>
                <w:rFonts w:eastAsiaTheme="minorEastAsia"/>
                <w:sz w:val="21"/>
                <w:szCs w:val="21"/>
                <w:lang w:val="zh-TW" w:eastAsia="zh-CN"/>
              </w:rPr>
              <w:t>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受试者例数</w:t>
            </w:r>
          </w:p>
        </w:tc>
        <w:tc>
          <w:tcPr>
            <w:tcW w:w="7610" w:type="dxa"/>
          </w:tcPr>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hint="eastAsia" w:eastAsiaTheme="minorEastAsia"/>
                <w:sz w:val="21"/>
                <w:szCs w:val="21"/>
                <w:lang w:eastAsia="zh-CN"/>
              </w:rPr>
              <w:t>空腹试验计划入组48</w:t>
            </w:r>
            <w:r>
              <w:rPr>
                <w:rFonts w:eastAsiaTheme="minorEastAsia"/>
                <w:sz w:val="21"/>
                <w:szCs w:val="21"/>
                <w:lang w:eastAsia="zh-CN"/>
              </w:rPr>
              <w:t>例</w:t>
            </w:r>
            <w:r>
              <w:rPr>
                <w:rFonts w:hint="eastAsia" w:eastAsiaTheme="minorEastAsia"/>
                <w:sz w:val="21"/>
                <w:szCs w:val="21"/>
                <w:lang w:eastAsia="zh-CN"/>
              </w:rPr>
              <w:t>受试者；餐后试验计划入组24例受试者。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试验药物</w:t>
            </w:r>
          </w:p>
        </w:tc>
        <w:tc>
          <w:tcPr>
            <w:tcW w:w="7610" w:type="dxa"/>
          </w:tcPr>
          <w:p>
            <w:pPr>
              <w:widowControl w:val="0"/>
              <w:autoSpaceDE w:val="0"/>
              <w:autoSpaceDN w:val="0"/>
              <w:adjustRightInd w:val="0"/>
              <w:spacing w:line="348" w:lineRule="auto"/>
              <w:ind w:left="0" w:firstLine="0"/>
              <w:contextualSpacing/>
              <w:jc w:val="left"/>
              <w:rPr>
                <w:rFonts w:eastAsiaTheme="minorEastAsia"/>
                <w:b/>
                <w:sz w:val="21"/>
                <w:szCs w:val="21"/>
                <w:lang w:eastAsia="zh-CN"/>
              </w:rPr>
            </w:pPr>
            <w:r>
              <w:rPr>
                <w:rFonts w:eastAsiaTheme="minorEastAsia"/>
                <w:b/>
                <w:sz w:val="21"/>
                <w:szCs w:val="21"/>
                <w:lang w:eastAsia="zh-CN"/>
              </w:rPr>
              <w:t>受试制剂（T）：</w:t>
            </w:r>
          </w:p>
          <w:p>
            <w:pPr>
              <w:widowControl w:val="0"/>
              <w:autoSpaceDE w:val="0"/>
              <w:autoSpaceDN w:val="0"/>
              <w:adjustRightInd w:val="0"/>
              <w:spacing w:line="348" w:lineRule="auto"/>
              <w:ind w:left="0" w:firstLine="0"/>
              <w:contextualSpacing/>
              <w:jc w:val="left"/>
              <w:rPr>
                <w:rFonts w:eastAsiaTheme="minorEastAsia"/>
                <w:b/>
                <w:sz w:val="21"/>
                <w:szCs w:val="21"/>
                <w:lang w:eastAsia="zh-CN"/>
              </w:rPr>
            </w:pPr>
            <w:r>
              <w:rPr>
                <w:rFonts w:eastAsiaTheme="minorEastAsia"/>
                <w:b/>
                <w:sz w:val="21"/>
                <w:szCs w:val="21"/>
                <w:lang w:eastAsia="zh-CN"/>
              </w:rPr>
              <w:t xml:space="preserve">      </w:t>
            </w:r>
            <w:r>
              <w:rPr>
                <w:rFonts w:eastAsiaTheme="minorEastAsia"/>
                <w:sz w:val="21"/>
                <w:szCs w:val="21"/>
                <w:lang w:eastAsia="zh-CN"/>
              </w:rPr>
              <w:t xml:space="preserve"> </w:t>
            </w:r>
            <w:r>
              <w:rPr>
                <w:rFonts w:eastAsiaTheme="minorEastAsia"/>
                <w:b/>
                <w:sz w:val="21"/>
                <w:szCs w:val="21"/>
                <w:lang w:eastAsia="zh-CN"/>
              </w:rPr>
              <w:t>受试制剂（T）：</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eastAsiaTheme="minorEastAsia"/>
                <w:b/>
                <w:sz w:val="21"/>
                <w:szCs w:val="21"/>
                <w:lang w:eastAsia="zh-CN"/>
              </w:rPr>
              <w:t xml:space="preserve">      </w:t>
            </w:r>
            <w:r>
              <w:rPr>
                <w:rFonts w:eastAsiaTheme="minorEastAsia"/>
                <w:sz w:val="21"/>
                <w:szCs w:val="21"/>
                <w:lang w:eastAsia="zh-CN"/>
              </w:rPr>
              <w:t xml:space="preserve">  </w:t>
            </w:r>
            <w:r>
              <w:rPr>
                <w:rFonts w:hint="eastAsia" w:eastAsiaTheme="minorEastAsia"/>
                <w:sz w:val="21"/>
                <w:szCs w:val="21"/>
                <w:lang w:eastAsia="zh-CN"/>
              </w:rPr>
              <w:t>XXXXXX</w:t>
            </w:r>
          </w:p>
          <w:p>
            <w:pPr>
              <w:widowControl w:val="0"/>
              <w:autoSpaceDE w:val="0"/>
              <w:autoSpaceDN w:val="0"/>
              <w:adjustRightInd w:val="0"/>
              <w:spacing w:line="348" w:lineRule="auto"/>
              <w:ind w:left="0" w:firstLine="0"/>
              <w:contextualSpacing/>
              <w:jc w:val="left"/>
              <w:rPr>
                <w:sz w:val="21"/>
                <w:szCs w:val="21"/>
                <w:lang w:eastAsia="zh-TW"/>
              </w:rPr>
            </w:pPr>
            <w:r>
              <w:rPr>
                <w:rFonts w:eastAsiaTheme="minorEastAsia"/>
                <w:sz w:val="21"/>
                <w:szCs w:val="21"/>
                <w:lang w:eastAsia="zh-CN"/>
              </w:rPr>
              <w:t xml:space="preserve">        规格：</w:t>
            </w:r>
            <w:r>
              <w:rPr>
                <w:sz w:val="21"/>
                <w:szCs w:val="21"/>
                <w:lang w:eastAsia="zh-TW"/>
              </w:rPr>
              <w:fldChar w:fldCharType="begin"/>
            </w:r>
            <w:r>
              <w:rPr>
                <w:sz w:val="21"/>
                <w:szCs w:val="21"/>
                <w:lang w:eastAsia="zh-TW"/>
              </w:rPr>
              <w:instrText xml:space="preserve"> MERGEFIELD  T规格 </w:instrText>
            </w:r>
            <w:r>
              <w:rPr>
                <w:sz w:val="21"/>
                <w:szCs w:val="21"/>
                <w:lang w:eastAsia="zh-TW"/>
              </w:rPr>
              <w:fldChar w:fldCharType="separate"/>
            </w:r>
            <w:r>
              <w:rPr>
                <w:rFonts w:hint="eastAsia"/>
                <w:sz w:val="21"/>
                <w:szCs w:val="21"/>
                <w:lang w:val="en-US" w:eastAsia="zh-CN"/>
              </w:rPr>
              <w:t>XX</w:t>
            </w:r>
            <w:r>
              <w:rPr>
                <w:sz w:val="21"/>
                <w:szCs w:val="21"/>
                <w:lang w:eastAsia="zh-TW"/>
              </w:rPr>
              <w:t>g/片</w:t>
            </w:r>
            <w:r>
              <w:rPr>
                <w:sz w:val="21"/>
                <w:szCs w:val="21"/>
                <w:lang w:eastAsia="zh-TW"/>
              </w:rPr>
              <w:fldChar w:fldCharType="end"/>
            </w:r>
          </w:p>
          <w:p>
            <w:pPr>
              <w:widowControl w:val="0"/>
              <w:autoSpaceDE w:val="0"/>
              <w:autoSpaceDN w:val="0"/>
              <w:adjustRightInd w:val="0"/>
              <w:spacing w:line="348" w:lineRule="auto"/>
              <w:ind w:left="0" w:firstLine="0"/>
              <w:contextualSpacing/>
              <w:jc w:val="left"/>
              <w:rPr>
                <w:rFonts w:eastAsiaTheme="minorEastAsia"/>
                <w:color w:val="FF0000"/>
                <w:sz w:val="21"/>
                <w:szCs w:val="21"/>
                <w:lang w:eastAsia="zh-CN"/>
              </w:rPr>
            </w:pPr>
            <w:r>
              <w:rPr>
                <w:rFonts w:eastAsiaTheme="minorEastAsia"/>
                <w:sz w:val="21"/>
                <w:szCs w:val="21"/>
                <w:lang w:eastAsia="zh-CN"/>
              </w:rPr>
              <w:t xml:space="preserve">       </w:t>
            </w:r>
            <w:r>
              <w:rPr>
                <w:rFonts w:eastAsiaTheme="minorEastAsia"/>
                <w:color w:val="FF0000"/>
                <w:sz w:val="21"/>
                <w:szCs w:val="21"/>
                <w:lang w:eastAsia="zh-CN"/>
              </w:rPr>
              <w:t xml:space="preserve"> 批号：</w:t>
            </w:r>
          </w:p>
          <w:p>
            <w:pPr>
              <w:widowControl w:val="0"/>
              <w:autoSpaceDE w:val="0"/>
              <w:autoSpaceDN w:val="0"/>
              <w:adjustRightInd w:val="0"/>
              <w:spacing w:line="348" w:lineRule="auto"/>
              <w:ind w:left="0" w:firstLine="0"/>
              <w:contextualSpacing/>
              <w:jc w:val="left"/>
              <w:rPr>
                <w:rFonts w:eastAsiaTheme="minorEastAsia"/>
                <w:color w:val="FF0000"/>
                <w:sz w:val="21"/>
                <w:szCs w:val="21"/>
                <w:lang w:eastAsia="zh-CN"/>
              </w:rPr>
            </w:pPr>
            <w:r>
              <w:rPr>
                <w:rFonts w:eastAsiaTheme="minorEastAsia"/>
                <w:color w:val="FF0000"/>
                <w:sz w:val="21"/>
                <w:szCs w:val="21"/>
                <w:lang w:eastAsia="zh-CN"/>
              </w:rPr>
              <w:t xml:space="preserve">        含量：</w:t>
            </w:r>
          </w:p>
          <w:p>
            <w:pPr>
              <w:widowControl w:val="0"/>
              <w:autoSpaceDE w:val="0"/>
              <w:autoSpaceDN w:val="0"/>
              <w:adjustRightInd w:val="0"/>
              <w:spacing w:line="348" w:lineRule="auto"/>
              <w:ind w:left="0" w:firstLine="0"/>
              <w:contextualSpacing/>
              <w:jc w:val="left"/>
              <w:rPr>
                <w:rFonts w:eastAsiaTheme="minorEastAsia"/>
                <w:color w:val="FF0000"/>
                <w:sz w:val="21"/>
                <w:szCs w:val="21"/>
                <w:lang w:eastAsia="zh-CN"/>
              </w:rPr>
            </w:pPr>
            <w:r>
              <w:rPr>
                <w:rFonts w:eastAsiaTheme="minorEastAsia"/>
                <w:color w:val="FF0000"/>
                <w:sz w:val="21"/>
                <w:szCs w:val="21"/>
                <w:lang w:eastAsia="zh-CN"/>
              </w:rPr>
              <w:t xml:space="preserve">        有效期至：</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eastAsiaTheme="minorEastAsia"/>
                <w:sz w:val="21"/>
                <w:szCs w:val="21"/>
                <w:lang w:eastAsia="zh-CN"/>
              </w:rPr>
              <w:t xml:space="preserve">        储存条件：</w:t>
            </w:r>
            <w:r>
              <w:rPr>
                <w:rFonts w:hint="eastAsia" w:eastAsiaTheme="minorEastAsia"/>
                <w:sz w:val="21"/>
                <w:szCs w:val="21"/>
                <w:lang w:eastAsia="zh-CN"/>
              </w:rPr>
              <w:t>遮光，密封保存（10～30℃）。</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eastAsiaTheme="minorEastAsia"/>
                <w:sz w:val="21"/>
                <w:szCs w:val="21"/>
                <w:lang w:eastAsia="zh-CN"/>
              </w:rPr>
              <w:t xml:space="preserve">        生产厂家：</w:t>
            </w:r>
            <w:r>
              <w:rPr>
                <w:rFonts w:hint="eastAsia" w:eastAsiaTheme="minorEastAsia"/>
                <w:sz w:val="21"/>
                <w:szCs w:val="21"/>
                <w:lang w:eastAsia="zh-CN"/>
              </w:rPr>
              <w:t>XXXXXX</w:t>
            </w:r>
          </w:p>
          <w:p>
            <w:pPr>
              <w:widowControl w:val="0"/>
              <w:autoSpaceDE w:val="0"/>
              <w:autoSpaceDN w:val="0"/>
              <w:adjustRightInd w:val="0"/>
              <w:spacing w:line="348" w:lineRule="auto"/>
              <w:ind w:left="0" w:firstLine="0"/>
              <w:contextualSpacing/>
              <w:jc w:val="left"/>
              <w:rPr>
                <w:rFonts w:eastAsiaTheme="minorEastAsia"/>
                <w:b/>
                <w:sz w:val="21"/>
                <w:szCs w:val="21"/>
                <w:lang w:eastAsia="zh-CN"/>
              </w:rPr>
            </w:pPr>
            <w:r>
              <w:rPr>
                <w:rFonts w:eastAsiaTheme="minorEastAsia"/>
                <w:b/>
                <w:sz w:val="21"/>
                <w:szCs w:val="21"/>
                <w:lang w:eastAsia="zh-CN"/>
              </w:rPr>
              <w:t>参比制剂（R）：</w:t>
            </w:r>
          </w:p>
          <w:p>
            <w:pPr>
              <w:widowControl w:val="0"/>
              <w:autoSpaceDE w:val="0"/>
              <w:autoSpaceDN w:val="0"/>
              <w:adjustRightInd w:val="0"/>
              <w:spacing w:line="348" w:lineRule="auto"/>
              <w:ind w:left="0" w:firstLine="420" w:firstLineChars="200"/>
              <w:contextualSpacing/>
              <w:jc w:val="left"/>
              <w:rPr>
                <w:rFonts w:eastAsiaTheme="minorEastAsia"/>
                <w:sz w:val="21"/>
                <w:szCs w:val="21"/>
                <w:lang w:eastAsia="zh-CN"/>
              </w:rPr>
            </w:pPr>
            <w:r>
              <w:rPr>
                <w:rFonts w:hint="eastAsia" w:eastAsiaTheme="minorEastAsia"/>
                <w:sz w:val="21"/>
                <w:szCs w:val="21"/>
                <w:lang w:eastAsia="zh-CN"/>
              </w:rPr>
              <w:t>XXXXXX</w:t>
            </w:r>
            <w:r>
              <w:rPr>
                <w:rFonts w:eastAsiaTheme="minorEastAsia"/>
                <w:sz w:val="21"/>
                <w:szCs w:val="21"/>
                <w:lang w:eastAsia="zh-CN"/>
              </w:rPr>
              <w:t>（商品名：</w:t>
            </w:r>
            <w:r>
              <w:rPr>
                <w:rFonts w:hint="eastAsia"/>
                <w:color w:val="000000"/>
                <w:sz w:val="21"/>
                <w:szCs w:val="21"/>
                <w:lang w:val="en-US" w:eastAsia="zh-CN" w:bidi="ar"/>
              </w:rPr>
              <w:t>XXXX</w:t>
            </w:r>
            <w:r>
              <w:rPr>
                <w:rFonts w:eastAsiaTheme="minorEastAsia"/>
                <w:sz w:val="21"/>
                <w:szCs w:val="21"/>
                <w:lang w:eastAsia="zh-CN"/>
              </w:rPr>
              <w:t>）</w:t>
            </w:r>
          </w:p>
          <w:p>
            <w:pPr>
              <w:widowControl w:val="0"/>
              <w:autoSpaceDE w:val="0"/>
              <w:autoSpaceDN w:val="0"/>
              <w:adjustRightInd w:val="0"/>
              <w:spacing w:line="348" w:lineRule="auto"/>
              <w:ind w:left="0" w:firstLine="420" w:firstLineChars="200"/>
              <w:contextualSpacing/>
              <w:jc w:val="left"/>
              <w:rPr>
                <w:rFonts w:eastAsiaTheme="minorEastAsia"/>
                <w:sz w:val="21"/>
                <w:szCs w:val="21"/>
                <w:lang w:eastAsia="zh-CN"/>
              </w:rPr>
            </w:pPr>
            <w:r>
              <w:rPr>
                <w:rFonts w:eastAsiaTheme="minorEastAsia"/>
                <w:sz w:val="21"/>
                <w:szCs w:val="21"/>
                <w:lang w:eastAsia="zh-CN"/>
              </w:rPr>
              <w:t>规格：</w:t>
            </w:r>
            <w:r>
              <w:rPr>
                <w:rFonts w:hint="eastAsia" w:eastAsiaTheme="minorEastAsia"/>
                <w:sz w:val="21"/>
                <w:szCs w:val="21"/>
                <w:lang w:val="en-US" w:eastAsia="zh-CN"/>
              </w:rPr>
              <w:t>XX</w:t>
            </w:r>
            <w:r>
              <w:rPr>
                <w:rFonts w:eastAsiaTheme="minorEastAsia"/>
                <w:sz w:val="21"/>
                <w:szCs w:val="21"/>
                <w:lang w:eastAsia="zh-CN"/>
              </w:rPr>
              <w:t>g/</w:t>
            </w:r>
            <w:r>
              <w:rPr>
                <w:rFonts w:hint="eastAsia" w:eastAsiaTheme="minorEastAsia"/>
                <w:sz w:val="21"/>
                <w:szCs w:val="21"/>
                <w:lang w:eastAsia="zh-CN"/>
              </w:rPr>
              <w:t>片</w:t>
            </w:r>
          </w:p>
          <w:p>
            <w:pPr>
              <w:widowControl w:val="0"/>
              <w:autoSpaceDE w:val="0"/>
              <w:autoSpaceDN w:val="0"/>
              <w:adjustRightInd w:val="0"/>
              <w:spacing w:line="348" w:lineRule="auto"/>
              <w:ind w:left="0" w:firstLine="0"/>
              <w:contextualSpacing/>
              <w:jc w:val="left"/>
              <w:rPr>
                <w:rFonts w:hint="default" w:eastAsiaTheme="minorEastAsia"/>
                <w:sz w:val="21"/>
                <w:szCs w:val="21"/>
                <w:lang w:val="en-US" w:eastAsia="zh-CN"/>
              </w:rPr>
            </w:pPr>
            <w:r>
              <w:rPr>
                <w:rFonts w:eastAsiaTheme="minorEastAsia"/>
                <w:sz w:val="21"/>
                <w:szCs w:val="21"/>
                <w:lang w:eastAsia="zh-CN"/>
              </w:rPr>
              <w:t xml:space="preserve">        批号：</w:t>
            </w:r>
            <w:r>
              <w:rPr>
                <w:rFonts w:hint="eastAsia" w:eastAsiaTheme="minorEastAsia"/>
                <w:sz w:val="21"/>
                <w:szCs w:val="21"/>
                <w:lang w:val="en-US" w:eastAsia="zh-CN"/>
              </w:rPr>
              <w:t>XXX</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eastAsiaTheme="minorEastAsia"/>
                <w:sz w:val="21"/>
                <w:szCs w:val="21"/>
                <w:lang w:eastAsia="zh-CN"/>
              </w:rPr>
              <w:t xml:space="preserve">        含量：</w:t>
            </w:r>
            <w:r>
              <w:rPr>
                <w:rFonts w:hint="eastAsia" w:eastAsiaTheme="minorEastAsia"/>
                <w:sz w:val="21"/>
                <w:szCs w:val="21"/>
                <w:lang w:eastAsia="zh-CN"/>
              </w:rPr>
              <w:t>99.0%</w:t>
            </w:r>
          </w:p>
          <w:p>
            <w:pPr>
              <w:widowControl w:val="0"/>
              <w:autoSpaceDE w:val="0"/>
              <w:autoSpaceDN w:val="0"/>
              <w:adjustRightInd w:val="0"/>
              <w:spacing w:line="348" w:lineRule="auto"/>
              <w:ind w:left="0" w:firstLine="0"/>
              <w:contextualSpacing/>
              <w:jc w:val="left"/>
              <w:rPr>
                <w:rFonts w:hint="eastAsia" w:eastAsiaTheme="minorEastAsia"/>
                <w:sz w:val="21"/>
                <w:szCs w:val="21"/>
                <w:lang w:val="en-US" w:eastAsia="zh-CN"/>
              </w:rPr>
            </w:pPr>
            <w:r>
              <w:rPr>
                <w:rFonts w:eastAsiaTheme="minorEastAsia"/>
                <w:sz w:val="21"/>
                <w:szCs w:val="21"/>
                <w:lang w:eastAsia="zh-CN"/>
              </w:rPr>
              <w:t xml:space="preserve">        有效期至：</w:t>
            </w:r>
            <w:r>
              <w:rPr>
                <w:rFonts w:hint="eastAsia" w:eastAsiaTheme="minorEastAsia"/>
                <w:sz w:val="21"/>
                <w:szCs w:val="21"/>
                <w:lang w:val="en-US" w:eastAsia="zh-CN"/>
              </w:rPr>
              <w:t>XXXX</w:t>
            </w:r>
          </w:p>
          <w:p>
            <w:pPr>
              <w:widowControl w:val="0"/>
              <w:autoSpaceDE w:val="0"/>
              <w:autoSpaceDN w:val="0"/>
              <w:adjustRightInd w:val="0"/>
              <w:spacing w:line="348" w:lineRule="auto"/>
              <w:ind w:left="0" w:firstLine="0"/>
              <w:contextualSpacing/>
              <w:jc w:val="left"/>
              <w:rPr>
                <w:rFonts w:eastAsiaTheme="minorEastAsia"/>
                <w:sz w:val="21"/>
                <w:szCs w:val="21"/>
                <w:lang w:eastAsia="zh-CN"/>
              </w:rPr>
            </w:pPr>
            <w:r>
              <w:rPr>
                <w:rFonts w:eastAsiaTheme="minorEastAsia"/>
                <w:sz w:val="21"/>
                <w:szCs w:val="21"/>
                <w:lang w:eastAsia="zh-CN"/>
              </w:rPr>
              <w:t xml:space="preserve">        储存条件：室温</w:t>
            </w:r>
            <w:r>
              <w:rPr>
                <w:rFonts w:hint="eastAsia" w:eastAsiaTheme="minorEastAsia"/>
                <w:sz w:val="21"/>
                <w:szCs w:val="21"/>
                <w:lang w:eastAsia="zh-CN"/>
              </w:rPr>
              <w:t>，</w:t>
            </w:r>
            <w:r>
              <w:rPr>
                <w:rFonts w:eastAsiaTheme="minorEastAsia"/>
                <w:sz w:val="21"/>
                <w:szCs w:val="21"/>
                <w:lang w:eastAsia="zh-CN"/>
              </w:rPr>
              <w:t>密闭容器</w:t>
            </w:r>
            <w:r>
              <w:rPr>
                <w:rFonts w:hint="eastAsia" w:eastAsiaTheme="minorEastAsia"/>
                <w:sz w:val="21"/>
                <w:szCs w:val="21"/>
                <w:lang w:eastAsia="zh-CN"/>
              </w:rPr>
              <w:t>（10～30℃）</w:t>
            </w:r>
          </w:p>
          <w:p>
            <w:pPr>
              <w:widowControl w:val="0"/>
              <w:autoSpaceDE w:val="0"/>
              <w:autoSpaceDN w:val="0"/>
              <w:adjustRightInd w:val="0"/>
              <w:spacing w:line="348" w:lineRule="auto"/>
              <w:ind w:left="0" w:firstLine="0"/>
              <w:contextualSpacing/>
              <w:jc w:val="left"/>
              <w:rPr>
                <w:rFonts w:hint="default" w:eastAsiaTheme="minorEastAsia"/>
                <w:sz w:val="21"/>
                <w:szCs w:val="21"/>
                <w:lang w:val="en-US" w:eastAsia="zh-CN"/>
              </w:rPr>
            </w:pPr>
            <w:r>
              <w:rPr>
                <w:rFonts w:eastAsiaTheme="minorEastAsia"/>
                <w:sz w:val="21"/>
                <w:szCs w:val="21"/>
                <w:lang w:eastAsia="zh-CN"/>
              </w:rPr>
              <w:t xml:space="preserve">        生产厂家：</w:t>
            </w:r>
            <w:r>
              <w:rPr>
                <w:rFonts w:hint="eastAsia"/>
                <w:color w:val="000000"/>
                <w:sz w:val="21"/>
                <w:szCs w:val="21"/>
                <w:lang w:val="en-US" w:eastAsia="zh-CN" w:bidi="ar"/>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给药剂量</w:t>
            </w:r>
          </w:p>
        </w:tc>
        <w:tc>
          <w:tcPr>
            <w:tcW w:w="7610" w:type="dxa"/>
          </w:tcPr>
          <w:p>
            <w:pPr>
              <w:widowControl w:val="0"/>
              <w:autoSpaceDE w:val="0"/>
              <w:autoSpaceDN w:val="0"/>
              <w:adjustRightInd w:val="0"/>
              <w:spacing w:line="348" w:lineRule="auto"/>
              <w:ind w:left="0" w:firstLine="420" w:firstLineChars="200"/>
              <w:contextualSpacing/>
              <w:jc w:val="left"/>
              <w:rPr>
                <w:rFonts w:eastAsiaTheme="minorEastAsia"/>
                <w:sz w:val="21"/>
                <w:szCs w:val="21"/>
                <w:lang w:eastAsia="zh-CN"/>
              </w:rPr>
            </w:pPr>
            <w:r>
              <w:rPr>
                <w:rFonts w:eastAsiaTheme="minorEastAsia"/>
                <w:sz w:val="21"/>
                <w:szCs w:val="21"/>
                <w:lang w:eastAsia="zh-CN"/>
              </w:rPr>
              <w:t>每周期</w:t>
            </w:r>
            <w:r>
              <w:rPr>
                <w:rFonts w:hint="eastAsia" w:eastAsiaTheme="minorEastAsia"/>
                <w:sz w:val="21"/>
                <w:szCs w:val="21"/>
                <w:lang w:val="en-US" w:eastAsia="zh-CN"/>
              </w:rPr>
              <w:t>空腹或</w:t>
            </w:r>
            <w:r>
              <w:rPr>
                <w:rFonts w:eastAsiaTheme="minorEastAsia"/>
                <w:sz w:val="21"/>
                <w:szCs w:val="21"/>
                <w:lang w:eastAsia="zh-CN"/>
              </w:rPr>
              <w:t>餐后</w:t>
            </w:r>
            <w:r>
              <w:rPr>
                <w:rFonts w:hint="eastAsia" w:eastAsiaTheme="minorEastAsia"/>
                <w:sz w:val="21"/>
                <w:szCs w:val="21"/>
                <w:lang w:eastAsia="zh-CN"/>
              </w:rPr>
              <w:t>单次</w:t>
            </w:r>
            <w:r>
              <w:rPr>
                <w:rFonts w:eastAsiaTheme="minorEastAsia"/>
                <w:sz w:val="21"/>
                <w:szCs w:val="21"/>
                <w:lang w:eastAsia="zh-CN"/>
              </w:rPr>
              <w:t>服用受试制剂或参比制剂</w:t>
            </w:r>
            <w:r>
              <w:rPr>
                <w:rFonts w:hint="eastAsia" w:eastAsiaTheme="minorEastAsia"/>
                <w:sz w:val="21"/>
                <w:szCs w:val="21"/>
                <w:lang w:eastAsia="zh-CN"/>
              </w:rPr>
              <w:t>XXg</w:t>
            </w:r>
            <w:r>
              <w:rPr>
                <w:rFonts w:eastAsiaTheme="minor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给药方法</w:t>
            </w:r>
          </w:p>
        </w:tc>
        <w:tc>
          <w:tcPr>
            <w:tcW w:w="7610" w:type="dxa"/>
          </w:tcPr>
          <w:p>
            <w:pPr>
              <w:widowControl w:val="0"/>
              <w:autoSpaceDE w:val="0"/>
              <w:autoSpaceDN w:val="0"/>
              <w:adjustRightInd w:val="0"/>
              <w:spacing w:line="348" w:lineRule="auto"/>
              <w:ind w:left="0" w:firstLine="420" w:firstLineChars="200"/>
              <w:contextualSpacing/>
              <w:rPr>
                <w:sz w:val="21"/>
                <w:szCs w:val="21"/>
                <w:lang w:eastAsia="zh-CN"/>
              </w:rPr>
            </w:pPr>
            <w:r>
              <w:rPr>
                <w:rFonts w:hint="eastAsia"/>
                <w:sz w:val="21"/>
                <w:szCs w:val="21"/>
                <w:lang w:eastAsia="zh-CN"/>
              </w:rPr>
              <w:t>空腹给药试验：受试者按照</w:t>
            </w:r>
            <w:r>
              <w:rPr>
                <w:sz w:val="21"/>
                <w:szCs w:val="21"/>
                <w:lang w:eastAsia="zh-CN"/>
              </w:rPr>
              <w:t>1：1</w:t>
            </w:r>
            <w:r>
              <w:rPr>
                <w:rFonts w:hint="eastAsia"/>
                <w:sz w:val="21"/>
                <w:szCs w:val="21"/>
                <w:lang w:eastAsia="zh-CN"/>
              </w:rPr>
              <w:t>比例随机分到2个给药顺序组（T-R组，R-T组）之一。即第一周期2</w:t>
            </w:r>
            <w:r>
              <w:rPr>
                <w:sz w:val="21"/>
                <w:szCs w:val="21"/>
                <w:lang w:eastAsia="zh-CN"/>
              </w:rPr>
              <w:t>4</w:t>
            </w:r>
            <w:r>
              <w:rPr>
                <w:rFonts w:hint="eastAsia"/>
                <w:sz w:val="21"/>
                <w:szCs w:val="21"/>
                <w:lang w:eastAsia="zh-CN"/>
              </w:rPr>
              <w:t>例受试者空腹口服受试制剂（T）</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T给药剂量</w:instrText>
            </w:r>
            <w:r>
              <w:rPr>
                <w:sz w:val="21"/>
                <w:szCs w:val="21"/>
                <w:lang w:eastAsia="zh-CN"/>
              </w:rPr>
              <w:instrText xml:space="preserve"> </w:instrText>
            </w:r>
            <w:r>
              <w:rPr>
                <w:sz w:val="21"/>
                <w:szCs w:val="21"/>
                <w:lang w:eastAsia="zh-CN"/>
              </w:rPr>
              <w:fldChar w:fldCharType="separate"/>
            </w:r>
            <w:r>
              <w:rPr>
                <w:rFonts w:hint="eastAsia"/>
                <w:sz w:val="21"/>
                <w:szCs w:val="21"/>
                <w:lang w:eastAsia="zh-CN"/>
              </w:rPr>
              <w:t>XXg（1片）</w:t>
            </w:r>
            <w:r>
              <w:rPr>
                <w:sz w:val="21"/>
                <w:szCs w:val="21"/>
                <w:lang w:eastAsia="zh-CN"/>
              </w:rPr>
              <w:fldChar w:fldCharType="end"/>
            </w:r>
            <w:r>
              <w:rPr>
                <w:rFonts w:hint="eastAsia"/>
                <w:sz w:val="21"/>
                <w:szCs w:val="21"/>
                <w:lang w:eastAsia="zh-CN"/>
              </w:rPr>
              <w:t>，240mL温水送服；另外2</w:t>
            </w:r>
            <w:r>
              <w:rPr>
                <w:sz w:val="21"/>
                <w:szCs w:val="21"/>
                <w:lang w:eastAsia="zh-CN"/>
              </w:rPr>
              <w:t>4</w:t>
            </w:r>
            <w:r>
              <w:rPr>
                <w:rFonts w:hint="eastAsia"/>
                <w:sz w:val="21"/>
                <w:szCs w:val="21"/>
                <w:lang w:eastAsia="zh-CN"/>
              </w:rPr>
              <w:t>例受试者空腹口服参比制剂（R）</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R给药剂量</w:instrText>
            </w:r>
            <w:r>
              <w:rPr>
                <w:sz w:val="21"/>
                <w:szCs w:val="21"/>
                <w:lang w:eastAsia="zh-CN"/>
              </w:rPr>
              <w:instrText xml:space="preserve"> </w:instrText>
            </w:r>
            <w:r>
              <w:rPr>
                <w:sz w:val="21"/>
                <w:szCs w:val="21"/>
                <w:lang w:eastAsia="zh-CN"/>
              </w:rPr>
              <w:fldChar w:fldCharType="separate"/>
            </w:r>
            <w:r>
              <w:rPr>
                <w:rFonts w:hint="eastAsia"/>
                <w:sz w:val="21"/>
                <w:szCs w:val="21"/>
                <w:lang w:eastAsia="zh-CN"/>
              </w:rPr>
              <w:t>XXg（1片）</w:t>
            </w:r>
            <w:r>
              <w:rPr>
                <w:sz w:val="21"/>
                <w:szCs w:val="21"/>
                <w:lang w:eastAsia="zh-CN"/>
              </w:rPr>
              <w:fldChar w:fldCharType="end"/>
            </w:r>
            <w:r>
              <w:rPr>
                <w:rFonts w:hint="eastAsia"/>
                <w:sz w:val="21"/>
                <w:szCs w:val="21"/>
                <w:lang w:eastAsia="zh-CN"/>
              </w:rPr>
              <w:t>，240mL温水送服。</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洗脱期</w:instrText>
            </w:r>
            <w:r>
              <w:rPr>
                <w:sz w:val="21"/>
                <w:szCs w:val="21"/>
                <w:lang w:eastAsia="zh-CN"/>
              </w:rPr>
              <w:instrText xml:space="preserve"> </w:instrText>
            </w:r>
            <w:r>
              <w:rPr>
                <w:sz w:val="21"/>
                <w:szCs w:val="21"/>
                <w:lang w:eastAsia="zh-CN"/>
              </w:rPr>
              <w:fldChar w:fldCharType="separate"/>
            </w:r>
            <w:r>
              <w:rPr>
                <w:sz w:val="21"/>
                <w:szCs w:val="21"/>
                <w:lang w:eastAsia="zh-CN"/>
              </w:rPr>
              <w:t>7</w:t>
            </w:r>
            <w:r>
              <w:rPr>
                <w:sz w:val="21"/>
                <w:szCs w:val="21"/>
                <w:lang w:eastAsia="zh-CN"/>
              </w:rPr>
              <w:fldChar w:fldCharType="end"/>
            </w:r>
            <w:r>
              <w:rPr>
                <w:rFonts w:hint="eastAsia"/>
                <w:sz w:val="21"/>
                <w:szCs w:val="21"/>
                <w:lang w:eastAsia="zh-CN"/>
              </w:rPr>
              <w:t>天后交叉给药。Ⅰ期临床研究中心</w:t>
            </w:r>
            <w:r>
              <w:rPr>
                <w:sz w:val="21"/>
                <w:szCs w:val="21"/>
                <w:lang w:eastAsia="zh-CN"/>
              </w:rPr>
              <w:t>药师根据随机化列表为每阶段研究分配研究药物</w:t>
            </w:r>
            <w:r>
              <w:rPr>
                <w:rFonts w:hint="eastAsia"/>
                <w:sz w:val="21"/>
                <w:szCs w:val="21"/>
                <w:lang w:eastAsia="zh-CN"/>
              </w:rPr>
              <w:t>。</w:t>
            </w:r>
          </w:p>
          <w:p>
            <w:pPr>
              <w:widowControl w:val="0"/>
              <w:autoSpaceDE w:val="0"/>
              <w:autoSpaceDN w:val="0"/>
              <w:adjustRightInd w:val="0"/>
              <w:spacing w:line="348" w:lineRule="auto"/>
              <w:ind w:left="0" w:firstLine="420" w:firstLineChars="200"/>
              <w:contextualSpacing/>
              <w:jc w:val="left"/>
              <w:rPr>
                <w:rFonts w:eastAsiaTheme="minorEastAsia"/>
                <w:sz w:val="21"/>
                <w:szCs w:val="21"/>
                <w:lang w:eastAsia="zh-CN"/>
              </w:rPr>
            </w:pPr>
            <w:r>
              <w:rPr>
                <w:rFonts w:hint="eastAsia"/>
                <w:sz w:val="21"/>
                <w:szCs w:val="21"/>
                <w:lang w:eastAsia="zh-CN"/>
              </w:rPr>
              <w:t>高脂餐后给药试验：受试者按照</w:t>
            </w:r>
            <w:r>
              <w:rPr>
                <w:sz w:val="21"/>
                <w:szCs w:val="21"/>
                <w:lang w:eastAsia="zh-CN"/>
              </w:rPr>
              <w:t>1：1</w:t>
            </w:r>
            <w:r>
              <w:rPr>
                <w:rFonts w:hint="eastAsia"/>
                <w:sz w:val="21"/>
                <w:szCs w:val="21"/>
                <w:lang w:eastAsia="zh-CN"/>
              </w:rPr>
              <w:t>比例随机分到2个给药顺序组（T-R组，R-T组）之一。即第一周期12例受试者高脂餐后30±0.5min内口服受试制剂（T）</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T给药剂量</w:instrText>
            </w:r>
            <w:r>
              <w:rPr>
                <w:sz w:val="21"/>
                <w:szCs w:val="21"/>
                <w:lang w:eastAsia="zh-CN"/>
              </w:rPr>
              <w:instrText xml:space="preserve"> </w:instrText>
            </w:r>
            <w:r>
              <w:rPr>
                <w:sz w:val="21"/>
                <w:szCs w:val="21"/>
                <w:lang w:eastAsia="zh-CN"/>
              </w:rPr>
              <w:fldChar w:fldCharType="separate"/>
            </w:r>
            <w:r>
              <w:rPr>
                <w:rFonts w:hint="eastAsia"/>
                <w:sz w:val="21"/>
                <w:szCs w:val="21"/>
                <w:lang w:eastAsia="zh-CN"/>
              </w:rPr>
              <w:t>XXg（1片）</w:t>
            </w:r>
            <w:r>
              <w:rPr>
                <w:sz w:val="21"/>
                <w:szCs w:val="21"/>
                <w:lang w:eastAsia="zh-CN"/>
              </w:rPr>
              <w:fldChar w:fldCharType="end"/>
            </w:r>
            <w:r>
              <w:rPr>
                <w:rFonts w:hint="eastAsia"/>
                <w:sz w:val="21"/>
                <w:szCs w:val="21"/>
                <w:lang w:eastAsia="zh-CN"/>
              </w:rPr>
              <w:t>，240mL温水送服；另外12例受试者高脂餐后30±0.5min内口服参比制剂（R）</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R给药剂量</w:instrText>
            </w:r>
            <w:r>
              <w:rPr>
                <w:sz w:val="21"/>
                <w:szCs w:val="21"/>
                <w:lang w:eastAsia="zh-CN"/>
              </w:rPr>
              <w:instrText xml:space="preserve"> </w:instrText>
            </w:r>
            <w:r>
              <w:rPr>
                <w:sz w:val="21"/>
                <w:szCs w:val="21"/>
                <w:lang w:eastAsia="zh-CN"/>
              </w:rPr>
              <w:fldChar w:fldCharType="separate"/>
            </w:r>
            <w:r>
              <w:rPr>
                <w:rFonts w:hint="eastAsia"/>
                <w:sz w:val="21"/>
                <w:szCs w:val="21"/>
                <w:lang w:eastAsia="zh-CN"/>
              </w:rPr>
              <w:t>XXg（1片）</w:t>
            </w:r>
            <w:r>
              <w:rPr>
                <w:sz w:val="21"/>
                <w:szCs w:val="21"/>
                <w:lang w:eastAsia="zh-CN"/>
              </w:rPr>
              <w:fldChar w:fldCharType="end"/>
            </w:r>
            <w:r>
              <w:rPr>
                <w:rFonts w:hint="eastAsia"/>
                <w:sz w:val="21"/>
                <w:szCs w:val="21"/>
                <w:lang w:eastAsia="zh-CN"/>
              </w:rPr>
              <w:t>，240mL温水送服。</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 xml:space="preserve">MERGEFIELD 洗脱期</w:instrText>
            </w:r>
            <w:r>
              <w:rPr>
                <w:sz w:val="21"/>
                <w:szCs w:val="21"/>
                <w:lang w:eastAsia="zh-CN"/>
              </w:rPr>
              <w:instrText xml:space="preserve"> </w:instrText>
            </w:r>
            <w:r>
              <w:rPr>
                <w:sz w:val="21"/>
                <w:szCs w:val="21"/>
                <w:lang w:eastAsia="zh-CN"/>
              </w:rPr>
              <w:fldChar w:fldCharType="separate"/>
            </w:r>
            <w:r>
              <w:rPr>
                <w:sz w:val="21"/>
                <w:szCs w:val="21"/>
                <w:lang w:eastAsia="zh-CN"/>
              </w:rPr>
              <w:t>7</w:t>
            </w:r>
            <w:r>
              <w:rPr>
                <w:sz w:val="21"/>
                <w:szCs w:val="21"/>
                <w:lang w:eastAsia="zh-CN"/>
              </w:rPr>
              <w:fldChar w:fldCharType="end"/>
            </w:r>
            <w:r>
              <w:rPr>
                <w:rFonts w:hint="eastAsia"/>
                <w:sz w:val="21"/>
                <w:szCs w:val="21"/>
                <w:lang w:eastAsia="zh-CN"/>
              </w:rPr>
              <w:t>天后交叉给药。Ⅰ期临床研究中心</w:t>
            </w:r>
            <w:r>
              <w:rPr>
                <w:sz w:val="21"/>
                <w:szCs w:val="21"/>
                <w:lang w:eastAsia="zh-CN"/>
              </w:rPr>
              <w:t>药师根据随机化列表为每阶段研究分配研究药物</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试验设计</w:t>
            </w:r>
          </w:p>
        </w:tc>
        <w:tc>
          <w:tcPr>
            <w:tcW w:w="7610" w:type="dxa"/>
          </w:tcPr>
          <w:p>
            <w:pPr>
              <w:widowControl w:val="0"/>
              <w:autoSpaceDE w:val="0"/>
              <w:autoSpaceDN w:val="0"/>
              <w:adjustRightInd w:val="0"/>
              <w:spacing w:line="348" w:lineRule="auto"/>
              <w:ind w:left="0" w:firstLine="420" w:firstLineChars="200"/>
              <w:contextualSpacing/>
              <w:rPr>
                <w:kern w:val="2"/>
                <w:sz w:val="21"/>
                <w:szCs w:val="21"/>
                <w:u w:color="000000"/>
                <w:lang w:val="zh-TW" w:eastAsia="zh-CN"/>
              </w:rPr>
            </w:pPr>
            <w:r>
              <w:rPr>
                <w:kern w:val="2"/>
                <w:sz w:val="21"/>
                <w:szCs w:val="21"/>
                <w:u w:color="000000"/>
                <w:lang w:val="zh-TW" w:eastAsia="zh-CN"/>
              </w:rPr>
              <w:t>本研究</w:t>
            </w:r>
            <w:r>
              <w:rPr>
                <w:rFonts w:hint="eastAsia"/>
                <w:kern w:val="2"/>
                <w:sz w:val="21"/>
                <w:szCs w:val="21"/>
                <w:u w:color="000000"/>
                <w:lang w:eastAsia="zh-CN"/>
              </w:rPr>
              <w:t>采用</w:t>
            </w:r>
            <w:r>
              <w:rPr>
                <w:kern w:val="2"/>
                <w:sz w:val="21"/>
                <w:szCs w:val="21"/>
                <w:u w:color="000000"/>
                <w:lang w:val="zh-TW" w:eastAsia="zh-CN"/>
              </w:rPr>
              <w:t>单中心、</w:t>
            </w:r>
            <w:r>
              <w:rPr>
                <w:rFonts w:hint="eastAsia"/>
                <w:sz w:val="21"/>
                <w:szCs w:val="21"/>
                <w:lang w:val="zh-TW" w:eastAsia="zh-CN"/>
              </w:rPr>
              <w:t>随机、开放、单剂量、两制剂、两周期交叉</w:t>
            </w:r>
            <w:r>
              <w:rPr>
                <w:kern w:val="2"/>
                <w:sz w:val="21"/>
                <w:szCs w:val="21"/>
                <w:u w:color="000000"/>
                <w:lang w:val="zh-TW" w:eastAsia="zh-CN"/>
              </w:rPr>
              <w:t>设计，评价</w:t>
            </w:r>
            <w:r>
              <w:rPr>
                <w:rFonts w:hint="eastAsia"/>
                <w:kern w:val="2"/>
                <w:sz w:val="21"/>
                <w:szCs w:val="21"/>
                <w:u w:color="000000"/>
                <w:lang w:eastAsia="zh-CN"/>
              </w:rPr>
              <w:t>健康受试者</w:t>
            </w:r>
            <w:r>
              <w:rPr>
                <w:kern w:val="2"/>
                <w:sz w:val="21"/>
                <w:szCs w:val="21"/>
                <w:u w:color="000000"/>
                <w:lang w:val="zh-TW" w:eastAsia="zh-CN"/>
              </w:rPr>
              <w:t>空腹及高脂餐后两种</w:t>
            </w:r>
            <w:r>
              <w:rPr>
                <w:rFonts w:hint="eastAsia"/>
                <w:kern w:val="2"/>
                <w:sz w:val="21"/>
                <w:szCs w:val="21"/>
                <w:u w:color="000000"/>
                <w:lang w:eastAsia="zh-CN"/>
              </w:rPr>
              <w:t>服药</w:t>
            </w:r>
            <w:r>
              <w:rPr>
                <w:kern w:val="2"/>
                <w:sz w:val="21"/>
                <w:szCs w:val="21"/>
                <w:u w:color="000000"/>
                <w:lang w:val="zh-TW" w:eastAsia="zh-CN"/>
              </w:rPr>
              <w:t>状态下的</w:t>
            </w:r>
            <w:r>
              <w:rPr>
                <w:rFonts w:hint="eastAsia"/>
                <w:kern w:val="2"/>
                <w:sz w:val="21"/>
                <w:szCs w:val="21"/>
                <w:u w:color="000000"/>
                <w:lang w:eastAsia="zh-CN"/>
              </w:rPr>
              <w:t>药代动力学参数</w:t>
            </w:r>
            <w:r>
              <w:rPr>
                <w:kern w:val="2"/>
                <w:sz w:val="21"/>
                <w:szCs w:val="21"/>
                <w:u w:color="000000"/>
                <w:lang w:val="zh-TW" w:eastAsia="zh-CN"/>
              </w:rPr>
              <w:t>。</w:t>
            </w:r>
            <w:r>
              <w:rPr>
                <w:sz w:val="21"/>
                <w:szCs w:val="21"/>
                <w:lang w:eastAsia="zh-CN"/>
              </w:rPr>
              <w:t>研究每周期</w:t>
            </w:r>
            <w:r>
              <w:rPr>
                <w:color w:val="000000"/>
                <w:sz w:val="21"/>
                <w:szCs w:val="21"/>
                <w:lang w:eastAsia="zh-CN"/>
              </w:rPr>
              <w:t>给药1次，健康</w:t>
            </w:r>
            <w:r>
              <w:rPr>
                <w:kern w:val="2"/>
                <w:sz w:val="21"/>
                <w:szCs w:val="21"/>
                <w:u w:color="000000"/>
                <w:lang w:val="zh-TW" w:eastAsia="zh-TW"/>
              </w:rPr>
              <w:t>受试者随机分为两组，每组人数相等</w:t>
            </w:r>
            <w:r>
              <w:rPr>
                <w:kern w:val="2"/>
                <w:sz w:val="21"/>
                <w:szCs w:val="21"/>
                <w:u w:color="000000"/>
                <w:lang w:val="zh-TW" w:eastAsia="zh-CN"/>
              </w:rPr>
              <w:t>，</w:t>
            </w:r>
            <w:r>
              <w:rPr>
                <w:kern w:val="2"/>
                <w:sz w:val="21"/>
                <w:szCs w:val="21"/>
                <w:u w:color="000000"/>
                <w:lang w:eastAsia="zh-CN"/>
              </w:rPr>
              <w:t>清洗</w:t>
            </w:r>
            <w:r>
              <w:rPr>
                <w:kern w:val="2"/>
                <w:sz w:val="21"/>
                <w:szCs w:val="21"/>
                <w:u w:color="000000"/>
                <w:lang w:val="zh-TW" w:eastAsia="zh-CN"/>
              </w:rPr>
              <w:t>期</w:t>
            </w:r>
            <w:r>
              <w:rPr>
                <w:sz w:val="21"/>
                <w:szCs w:val="21"/>
                <w:lang w:val="zh-TW" w:eastAsia="zh-CN"/>
              </w:rPr>
              <w:fldChar w:fldCharType="begin"/>
            </w:r>
            <w:r>
              <w:rPr>
                <w:sz w:val="21"/>
                <w:szCs w:val="21"/>
                <w:lang w:val="zh-TW" w:eastAsia="zh-CN"/>
              </w:rPr>
              <w:instrText xml:space="preserve"> </w:instrText>
            </w:r>
            <w:r>
              <w:rPr>
                <w:rFonts w:hint="eastAsia"/>
                <w:sz w:val="21"/>
                <w:szCs w:val="21"/>
                <w:lang w:val="zh-TW" w:eastAsia="zh-CN"/>
              </w:rPr>
              <w:instrText xml:space="preserve">MERGEFIELD 洗脱期</w:instrText>
            </w:r>
            <w:r>
              <w:rPr>
                <w:sz w:val="21"/>
                <w:szCs w:val="21"/>
                <w:lang w:val="zh-TW" w:eastAsia="zh-CN"/>
              </w:rPr>
              <w:instrText xml:space="preserve"> </w:instrText>
            </w:r>
            <w:r>
              <w:rPr>
                <w:sz w:val="21"/>
                <w:szCs w:val="21"/>
                <w:lang w:val="zh-TW" w:eastAsia="zh-CN"/>
              </w:rPr>
              <w:fldChar w:fldCharType="separate"/>
            </w:r>
            <w:r>
              <w:rPr>
                <w:sz w:val="21"/>
                <w:szCs w:val="21"/>
                <w:lang w:val="zh-TW" w:eastAsia="zh-CN"/>
              </w:rPr>
              <w:t>7</w:t>
            </w:r>
            <w:r>
              <w:rPr>
                <w:sz w:val="21"/>
                <w:szCs w:val="21"/>
                <w:lang w:val="zh-TW" w:eastAsia="zh-CN"/>
              </w:rPr>
              <w:fldChar w:fldCharType="end"/>
            </w:r>
            <w:r>
              <w:rPr>
                <w:sz w:val="21"/>
                <w:szCs w:val="21"/>
                <w:lang w:val="zh-TW" w:eastAsia="zh-CN"/>
              </w:rPr>
              <w:t>天</w:t>
            </w:r>
            <w:r>
              <w:rPr>
                <w:kern w:val="2"/>
                <w:sz w:val="21"/>
                <w:szCs w:val="21"/>
                <w:u w:color="000000"/>
                <w:lang w:val="zh-TW" w:eastAsia="zh-TW"/>
              </w:rPr>
              <w:t>。</w:t>
            </w:r>
            <w:r>
              <w:rPr>
                <w:kern w:val="2"/>
                <w:sz w:val="21"/>
                <w:szCs w:val="21"/>
                <w:u w:color="000000"/>
                <w:lang w:val="zh-TW" w:eastAsia="zh-CN"/>
              </w:rPr>
              <w:t>给药顺序见下表</w:t>
            </w:r>
            <w:r>
              <w:rPr>
                <w:rFonts w:hint="eastAsia"/>
                <w:kern w:val="2"/>
                <w:sz w:val="21"/>
                <w:szCs w:val="21"/>
                <w:u w:color="000000"/>
                <w:lang w:val="zh-TW" w:eastAsia="zh-CN"/>
              </w:rPr>
              <w:t>：</w:t>
            </w:r>
          </w:p>
          <w:p>
            <w:pPr>
              <w:widowControl w:val="0"/>
              <w:autoSpaceDE w:val="0"/>
              <w:autoSpaceDN w:val="0"/>
              <w:adjustRightInd w:val="0"/>
              <w:spacing w:line="348" w:lineRule="auto"/>
              <w:ind w:left="0" w:firstLine="0"/>
              <w:contextualSpacing/>
              <w:jc w:val="center"/>
              <w:rPr>
                <w:b/>
                <w:sz w:val="21"/>
                <w:szCs w:val="21"/>
                <w:lang w:eastAsia="zh-TW"/>
              </w:rPr>
            </w:pPr>
            <w:r>
              <w:rPr>
                <w:rFonts w:hint="eastAsia"/>
                <w:b/>
                <w:sz w:val="21"/>
                <w:szCs w:val="21"/>
                <w:lang w:eastAsia="zh-CN"/>
              </w:rPr>
              <w:t>交叉给药方案</w:t>
            </w:r>
          </w:p>
          <w:tbl>
            <w:tblPr>
              <w:tblStyle w:val="27"/>
              <w:tblW w:w="72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2"/>
              <w:gridCol w:w="1800"/>
              <w:gridCol w:w="1800"/>
              <w:gridCol w:w="1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exact"/>
              </w:trPr>
              <w:tc>
                <w:tcPr>
                  <w:tcW w:w="1802"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p>
              </w:tc>
              <w:tc>
                <w:tcPr>
                  <w:tcW w:w="1800"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周期</w:t>
                  </w:r>
                  <w:r>
                    <w:rPr>
                      <w:sz w:val="21"/>
                      <w:szCs w:val="21"/>
                      <w:lang w:eastAsia="zh-CN"/>
                    </w:rPr>
                    <w:t>1</w:t>
                  </w:r>
                </w:p>
              </w:tc>
              <w:tc>
                <w:tcPr>
                  <w:tcW w:w="1800" w:type="dxa"/>
                  <w:vMerge w:val="restart"/>
                  <w:tcBorders>
                    <w:top w:val="single" w:color="000000" w:sz="4" w:space="0"/>
                    <w:left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清洗期</w:t>
                  </w:r>
                </w:p>
              </w:tc>
              <w:tc>
                <w:tcPr>
                  <w:tcW w:w="1799"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周期</w:t>
                  </w:r>
                  <w:r>
                    <w:rPr>
                      <w:sz w:val="21"/>
                      <w:szCs w:val="21"/>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8" w:hRule="exact"/>
              </w:trPr>
              <w:tc>
                <w:tcPr>
                  <w:tcW w:w="1802"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sz w:val="21"/>
                      <w:lang w:val="zh-TW" w:eastAsia="zh-CN"/>
                    </w:rPr>
                    <w:t>T-R</w:t>
                  </w:r>
                  <w:r>
                    <w:rPr>
                      <w:rFonts w:hint="eastAsia"/>
                      <w:sz w:val="21"/>
                      <w:szCs w:val="21"/>
                      <w:lang w:eastAsia="zh-CN"/>
                    </w:rPr>
                    <w:t>组</w:t>
                  </w:r>
                </w:p>
              </w:tc>
              <w:tc>
                <w:tcPr>
                  <w:tcW w:w="1800"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T</w:t>
                  </w:r>
                </w:p>
              </w:tc>
              <w:tc>
                <w:tcPr>
                  <w:tcW w:w="1800" w:type="dxa"/>
                  <w:vMerge w:val="continue"/>
                  <w:tcBorders>
                    <w:left w:val="single" w:color="000000" w:sz="4" w:space="0"/>
                    <w:right w:val="single" w:color="000000" w:sz="4" w:space="0"/>
                  </w:tcBorders>
                  <w:vAlign w:val="center"/>
                </w:tcPr>
                <w:p>
                  <w:pPr>
                    <w:spacing w:line="348" w:lineRule="auto"/>
                    <w:jc w:val="center"/>
                    <w:rPr>
                      <w:sz w:val="21"/>
                      <w:szCs w:val="21"/>
                      <w:lang w:eastAsia="zh-CN"/>
                    </w:rPr>
                  </w:pPr>
                </w:p>
              </w:tc>
              <w:tc>
                <w:tcPr>
                  <w:tcW w:w="1799"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exact"/>
              </w:trPr>
              <w:tc>
                <w:tcPr>
                  <w:tcW w:w="1802"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sz w:val="21"/>
                      <w:lang w:val="zh-TW" w:eastAsia="zh-CN"/>
                    </w:rPr>
                    <w:t>R-T</w:t>
                  </w:r>
                  <w:r>
                    <w:rPr>
                      <w:rFonts w:hint="eastAsia"/>
                      <w:sz w:val="21"/>
                      <w:szCs w:val="21"/>
                      <w:lang w:eastAsia="zh-CN"/>
                    </w:rPr>
                    <w:t>组</w:t>
                  </w:r>
                </w:p>
              </w:tc>
              <w:tc>
                <w:tcPr>
                  <w:tcW w:w="1800"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R</w:t>
                  </w:r>
                </w:p>
              </w:tc>
              <w:tc>
                <w:tcPr>
                  <w:tcW w:w="1800" w:type="dxa"/>
                  <w:vMerge w:val="continue"/>
                  <w:tcBorders>
                    <w:left w:val="single" w:color="000000" w:sz="4" w:space="0"/>
                    <w:right w:val="single" w:color="000000" w:sz="4" w:space="0"/>
                  </w:tcBorders>
                  <w:vAlign w:val="center"/>
                </w:tcPr>
                <w:p>
                  <w:pPr>
                    <w:spacing w:line="348" w:lineRule="auto"/>
                    <w:jc w:val="center"/>
                    <w:rPr>
                      <w:sz w:val="21"/>
                      <w:szCs w:val="21"/>
                      <w:lang w:eastAsia="zh-CN"/>
                    </w:rPr>
                  </w:pPr>
                </w:p>
              </w:tc>
              <w:tc>
                <w:tcPr>
                  <w:tcW w:w="1799" w:type="dxa"/>
                  <w:tcBorders>
                    <w:top w:val="single" w:color="000000" w:sz="4" w:space="0"/>
                    <w:left w:val="single" w:color="000000" w:sz="4" w:space="0"/>
                    <w:bottom w:val="single" w:color="000000" w:sz="4" w:space="0"/>
                    <w:right w:val="single" w:color="000000" w:sz="4" w:space="0"/>
                  </w:tcBorders>
                  <w:vAlign w:val="center"/>
                </w:tcPr>
                <w:p>
                  <w:pPr>
                    <w:spacing w:line="348" w:lineRule="auto"/>
                    <w:jc w:val="center"/>
                    <w:rPr>
                      <w:sz w:val="21"/>
                      <w:szCs w:val="21"/>
                      <w:lang w:eastAsia="zh-CN"/>
                    </w:rPr>
                  </w:pPr>
                  <w:r>
                    <w:rPr>
                      <w:rFonts w:hint="eastAsia"/>
                      <w:sz w:val="21"/>
                      <w:szCs w:val="21"/>
                      <w:lang w:eastAsia="zh-CN"/>
                    </w:rPr>
                    <w:t>T</w:t>
                  </w:r>
                </w:p>
              </w:tc>
            </w:tr>
          </w:tbl>
          <w:p>
            <w:pPr>
              <w:widowControl w:val="0"/>
              <w:autoSpaceDE w:val="0"/>
              <w:autoSpaceDN w:val="0"/>
              <w:adjustRightInd w:val="0"/>
              <w:spacing w:line="348" w:lineRule="auto"/>
              <w:ind w:left="719" w:hanging="719" w:hangingChars="341"/>
              <w:contextualSpacing/>
              <w:jc w:val="left"/>
              <w:rPr>
                <w:rFonts w:eastAsiaTheme="minorEastAsia"/>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pStyle w:val="3"/>
              <w:autoSpaceDE w:val="0"/>
              <w:autoSpaceDN w:val="0"/>
              <w:adjustRightInd w:val="0"/>
              <w:spacing w:line="348" w:lineRule="auto"/>
              <w:ind w:left="0" w:firstLine="0"/>
              <w:contextualSpacing/>
              <w:rPr>
                <w:rFonts w:ascii="Times New Roman" w:hAnsi="Times New Roman" w:cs="Times New Roman" w:eastAsiaTheme="minorEastAsia"/>
                <w:b/>
                <w:bCs/>
                <w:color w:val="auto"/>
                <w:lang w:val="zh-TW"/>
              </w:rPr>
            </w:pPr>
            <w:r>
              <w:rPr>
                <w:rFonts w:ascii="Times New Roman" w:hAnsi="Times New Roman" w:cs="Times New Roman" w:eastAsiaTheme="minorEastAsia"/>
                <w:b/>
                <w:bCs/>
                <w:color w:val="auto"/>
                <w:lang w:val="zh-TW"/>
              </w:rPr>
              <w:t>研究程序</w:t>
            </w:r>
          </w:p>
        </w:tc>
        <w:tc>
          <w:tcPr>
            <w:tcW w:w="7610" w:type="dxa"/>
          </w:tcPr>
          <w:p>
            <w:pPr>
              <w:widowControl w:val="0"/>
              <w:autoSpaceDE w:val="0"/>
              <w:autoSpaceDN w:val="0"/>
              <w:adjustRightInd w:val="0"/>
              <w:spacing w:line="348" w:lineRule="auto"/>
              <w:ind w:left="721" w:hanging="721" w:hangingChars="342"/>
              <w:contextualSpacing/>
              <w:jc w:val="left"/>
              <w:rPr>
                <w:rFonts w:eastAsiaTheme="minorEastAsia"/>
                <w:b/>
                <w:kern w:val="2"/>
                <w:sz w:val="21"/>
                <w:szCs w:val="21"/>
                <w:u w:color="000000"/>
                <w:lang w:val="zh-TW" w:eastAsia="zh-CN"/>
              </w:rPr>
            </w:pPr>
            <w:r>
              <w:rPr>
                <w:rFonts w:eastAsiaTheme="minorEastAsia"/>
                <w:b/>
                <w:kern w:val="2"/>
                <w:sz w:val="21"/>
                <w:szCs w:val="21"/>
                <w:u w:color="000000"/>
                <w:lang w:val="zh-TW" w:eastAsia="zh-CN"/>
              </w:rPr>
              <w:t>筛选期</w:t>
            </w:r>
          </w:p>
          <w:p>
            <w:pPr>
              <w:widowControl w:val="0"/>
              <w:autoSpaceDE w:val="0"/>
              <w:autoSpaceDN w:val="0"/>
              <w:adjustRightInd w:val="0"/>
              <w:spacing w:line="348" w:lineRule="auto"/>
              <w:ind w:left="0" w:firstLine="420" w:firstLineChars="200"/>
              <w:contextualSpacing/>
              <w:jc w:val="left"/>
              <w:rPr>
                <w:rFonts w:eastAsiaTheme="minorEastAsia"/>
                <w:color w:val="000000"/>
                <w:sz w:val="21"/>
                <w:szCs w:val="21"/>
                <w:lang w:eastAsia="zh-CN"/>
              </w:rPr>
            </w:pPr>
            <w:r>
              <w:rPr>
                <w:rFonts w:eastAsiaTheme="minorEastAsia"/>
                <w:color w:val="000000"/>
                <w:sz w:val="21"/>
                <w:szCs w:val="21"/>
                <w:lang w:eastAsia="zh-CN"/>
              </w:rPr>
              <w:t>受试者签署知情同意书后，于服药前-</w:t>
            </w:r>
            <w:r>
              <w:rPr>
                <w:rFonts w:hint="eastAsia" w:eastAsiaTheme="minorEastAsia"/>
                <w:color w:val="000000"/>
                <w:sz w:val="21"/>
                <w:szCs w:val="21"/>
                <w:lang w:eastAsia="zh-CN"/>
              </w:rPr>
              <w:t>14</w:t>
            </w:r>
            <w:r>
              <w:rPr>
                <w:rFonts w:eastAsiaTheme="minorEastAsia"/>
                <w:color w:val="000000"/>
                <w:sz w:val="21"/>
                <w:szCs w:val="21"/>
                <w:lang w:eastAsia="zh-CN"/>
              </w:rPr>
              <w:t>天~-</w:t>
            </w:r>
            <w:r>
              <w:rPr>
                <w:rFonts w:hint="eastAsia" w:eastAsiaTheme="minorEastAsia"/>
                <w:color w:val="000000"/>
                <w:sz w:val="21"/>
                <w:szCs w:val="21"/>
                <w:lang w:eastAsia="zh-CN"/>
              </w:rPr>
              <w:t>1</w:t>
            </w:r>
            <w:r>
              <w:rPr>
                <w:rFonts w:eastAsiaTheme="minorEastAsia"/>
                <w:color w:val="000000"/>
                <w:sz w:val="21"/>
                <w:szCs w:val="21"/>
                <w:lang w:eastAsia="zh-CN"/>
              </w:rPr>
              <w:t>天接受一系列检查，并提供相应信息，包括：人口学资料、病史/既往史、体格检查、身高体重、生命体征、12-导联心电图、临床实验室</w:t>
            </w:r>
            <w:r>
              <w:rPr>
                <w:rFonts w:hint="eastAsia" w:eastAsiaTheme="minorEastAsia"/>
                <w:color w:val="000000"/>
                <w:sz w:val="21"/>
                <w:szCs w:val="21"/>
                <w:lang w:eastAsia="zh-CN"/>
              </w:rPr>
              <w:t>检查</w:t>
            </w:r>
            <w:r>
              <w:rPr>
                <w:rFonts w:eastAsiaTheme="minorEastAsia"/>
                <w:color w:val="000000"/>
                <w:sz w:val="21"/>
                <w:szCs w:val="21"/>
                <w:lang w:eastAsia="zh-CN"/>
              </w:rPr>
              <w:t>（血生化、血常规、尿常规、</w:t>
            </w:r>
            <w:r>
              <w:rPr>
                <w:rFonts w:hint="eastAsia" w:eastAsiaTheme="minorEastAsia"/>
                <w:color w:val="000000"/>
                <w:sz w:val="21"/>
                <w:szCs w:val="21"/>
                <w:lang w:val="en-US" w:eastAsia="zh-CN"/>
              </w:rPr>
              <w:t>凝血功能、</w:t>
            </w:r>
            <w:r>
              <w:rPr>
                <w:rFonts w:eastAsiaTheme="minorEastAsia"/>
                <w:color w:val="000000"/>
                <w:sz w:val="21"/>
                <w:szCs w:val="21"/>
                <w:lang w:eastAsia="zh-CN"/>
              </w:rPr>
              <w:t>输血四项）、</w:t>
            </w:r>
            <w:r>
              <w:rPr>
                <w:rFonts w:hint="eastAsia"/>
                <w:color w:val="000000"/>
                <w:sz w:val="21"/>
                <w:szCs w:val="21"/>
                <w:lang w:eastAsia="zh-CN"/>
              </w:rPr>
              <w:t>血妊娠检查（仅育龄女性）、</w:t>
            </w:r>
            <w:r>
              <w:rPr>
                <w:rFonts w:hint="eastAsia"/>
                <w:color w:val="000000"/>
                <w:sz w:val="21"/>
                <w:szCs w:val="21"/>
                <w:lang w:val="en-US" w:eastAsia="zh-CN"/>
              </w:rPr>
              <w:t>酒精呼气检测、药物滥用筛查</w:t>
            </w:r>
            <w:r>
              <w:rPr>
                <w:rFonts w:hint="eastAsia"/>
                <w:color w:val="000000"/>
                <w:sz w:val="21"/>
                <w:szCs w:val="21"/>
                <w:lang w:eastAsia="zh-CN"/>
              </w:rPr>
              <w:t>等</w:t>
            </w:r>
            <w:r>
              <w:rPr>
                <w:rFonts w:eastAsiaTheme="minorEastAsia"/>
                <w:color w:val="000000"/>
                <w:sz w:val="21"/>
                <w:szCs w:val="21"/>
                <w:lang w:eastAsia="zh-CN"/>
              </w:rPr>
              <w:t>。</w:t>
            </w:r>
          </w:p>
          <w:p>
            <w:pPr>
              <w:widowControl w:val="0"/>
              <w:autoSpaceDE w:val="0"/>
              <w:autoSpaceDN w:val="0"/>
              <w:adjustRightInd w:val="0"/>
              <w:spacing w:line="348" w:lineRule="auto"/>
              <w:ind w:left="719" w:hanging="719" w:hangingChars="341"/>
              <w:contextualSpacing/>
              <w:rPr>
                <w:b/>
                <w:kern w:val="2"/>
                <w:sz w:val="21"/>
                <w:szCs w:val="21"/>
                <w:u w:color="000000"/>
                <w:lang w:val="zh-TW" w:eastAsia="zh-CN"/>
              </w:rPr>
            </w:pPr>
            <w:r>
              <w:rPr>
                <w:rFonts w:hint="eastAsia"/>
                <w:b/>
                <w:kern w:val="2"/>
                <w:sz w:val="21"/>
                <w:szCs w:val="21"/>
                <w:u w:color="000000"/>
                <w:lang w:val="zh-TW" w:eastAsia="zh-CN"/>
              </w:rPr>
              <w:t>空腹给药生物等效性试验</w:t>
            </w:r>
          </w:p>
          <w:p>
            <w:pPr>
              <w:widowControl w:val="0"/>
              <w:autoSpaceDE w:val="0"/>
              <w:autoSpaceDN w:val="0"/>
              <w:adjustRightInd w:val="0"/>
              <w:ind w:left="0" w:firstLine="420" w:firstLineChars="200"/>
              <w:contextualSpacing/>
              <w:rPr>
                <w:color w:val="000000"/>
                <w:sz w:val="21"/>
                <w:szCs w:val="21"/>
                <w:lang w:eastAsia="zh-CN"/>
              </w:rPr>
            </w:pPr>
            <w:r>
              <w:rPr>
                <w:rFonts w:hint="eastAsia"/>
                <w:sz w:val="21"/>
                <w:szCs w:val="21"/>
                <w:lang w:eastAsia="zh-TW"/>
              </w:rPr>
              <w:t>采用单中心、</w:t>
            </w:r>
            <w:r>
              <w:rPr>
                <w:rFonts w:hint="eastAsia"/>
                <w:sz w:val="21"/>
                <w:szCs w:val="21"/>
                <w:lang w:val="zh-TW" w:eastAsia="zh-CN"/>
              </w:rPr>
              <w:t>随机、开放、单剂量、两制剂、两周期交叉试验设计（</w:t>
            </w:r>
            <w:r>
              <w:rPr>
                <w:color w:val="000000"/>
                <w:sz w:val="21"/>
                <w:szCs w:val="21"/>
                <w:lang w:eastAsia="zh-CN"/>
              </w:rPr>
              <w:t>清洗期为</w:t>
            </w:r>
            <w:r>
              <w:rPr>
                <w:color w:val="000000"/>
                <w:sz w:val="21"/>
                <w:szCs w:val="21"/>
                <w:lang w:eastAsia="zh-CN"/>
              </w:rPr>
              <w:fldChar w:fldCharType="begin"/>
            </w:r>
            <w:r>
              <w:rPr>
                <w:color w:val="000000"/>
                <w:sz w:val="21"/>
                <w:szCs w:val="21"/>
                <w:lang w:eastAsia="zh-CN"/>
              </w:rPr>
              <w:instrText xml:space="preserve"> </w:instrText>
            </w:r>
            <w:r>
              <w:rPr>
                <w:rFonts w:hint="eastAsia"/>
                <w:color w:val="000000"/>
                <w:sz w:val="21"/>
                <w:szCs w:val="21"/>
                <w:lang w:eastAsia="zh-CN"/>
              </w:rPr>
              <w:instrText xml:space="preserve">MERGEFIELD 洗脱期</w:instrText>
            </w:r>
            <w:r>
              <w:rPr>
                <w:color w:val="000000"/>
                <w:sz w:val="21"/>
                <w:szCs w:val="21"/>
                <w:lang w:eastAsia="zh-CN"/>
              </w:rPr>
              <w:instrText xml:space="preserve"> </w:instrText>
            </w:r>
            <w:r>
              <w:rPr>
                <w:color w:val="000000"/>
                <w:sz w:val="21"/>
                <w:szCs w:val="21"/>
                <w:lang w:eastAsia="zh-CN"/>
              </w:rPr>
              <w:fldChar w:fldCharType="separate"/>
            </w:r>
            <w:r>
              <w:rPr>
                <w:color w:val="000000"/>
                <w:sz w:val="21"/>
                <w:szCs w:val="21"/>
                <w:lang w:eastAsia="zh-CN"/>
              </w:rPr>
              <w:t>7</w:t>
            </w:r>
            <w:r>
              <w:rPr>
                <w:color w:val="000000"/>
                <w:sz w:val="21"/>
                <w:szCs w:val="21"/>
                <w:lang w:eastAsia="zh-CN"/>
              </w:rPr>
              <w:fldChar w:fldCharType="end"/>
            </w:r>
            <w:r>
              <w:rPr>
                <w:color w:val="000000"/>
                <w:sz w:val="21"/>
                <w:szCs w:val="21"/>
                <w:lang w:eastAsia="zh-CN"/>
              </w:rPr>
              <w:t>天</w:t>
            </w:r>
            <w:r>
              <w:rPr>
                <w:rFonts w:hint="eastAsia"/>
                <w:sz w:val="21"/>
                <w:szCs w:val="21"/>
                <w:lang w:val="zh-TW" w:eastAsia="zh-CN"/>
              </w:rPr>
              <w:t>），</w:t>
            </w:r>
            <w:r>
              <w:rPr>
                <w:color w:val="000000"/>
                <w:sz w:val="21"/>
                <w:szCs w:val="21"/>
                <w:lang w:eastAsia="zh-CN"/>
              </w:rPr>
              <w:t>将筛选合格的</w:t>
            </w:r>
            <w:r>
              <w:rPr>
                <w:rFonts w:hint="eastAsia"/>
                <w:color w:val="000000"/>
                <w:sz w:val="21"/>
                <w:szCs w:val="21"/>
                <w:lang w:eastAsia="zh-CN"/>
              </w:rPr>
              <w:t>4</w:t>
            </w:r>
            <w:r>
              <w:rPr>
                <w:sz w:val="21"/>
                <w:szCs w:val="21"/>
                <w:lang w:val="zh-TW" w:eastAsia="zh-CN"/>
              </w:rPr>
              <w:t>8</w:t>
            </w:r>
            <w:r>
              <w:rPr>
                <w:color w:val="000000"/>
                <w:sz w:val="21"/>
                <w:szCs w:val="21"/>
                <w:lang w:eastAsia="zh-CN"/>
              </w:rPr>
              <w:t>名健康受试者（包含男性和女性受试者）随机分为2组，T-R组和R-T组，每组</w:t>
            </w:r>
            <w:r>
              <w:rPr>
                <w:rFonts w:hint="eastAsia"/>
                <w:color w:val="000000"/>
                <w:sz w:val="21"/>
                <w:szCs w:val="21"/>
                <w:lang w:eastAsia="zh-CN"/>
              </w:rPr>
              <w:t>2</w:t>
            </w:r>
            <w:r>
              <w:rPr>
                <w:sz w:val="21"/>
                <w:szCs w:val="21"/>
                <w:lang w:val="zh-TW" w:eastAsia="zh-CN"/>
              </w:rPr>
              <w:t>4</w:t>
            </w:r>
            <w:r>
              <w:rPr>
                <w:color w:val="000000"/>
                <w:sz w:val="21"/>
                <w:szCs w:val="21"/>
                <w:lang w:eastAsia="zh-CN"/>
              </w:rPr>
              <w:t>人。入选的受试者于每周期</w:t>
            </w:r>
            <w:r>
              <w:rPr>
                <w:rFonts w:hint="eastAsia"/>
                <w:color w:val="000000"/>
                <w:sz w:val="21"/>
                <w:szCs w:val="21"/>
                <w:lang w:eastAsia="zh-CN"/>
              </w:rPr>
              <w:t>给药</w:t>
            </w:r>
            <w:r>
              <w:rPr>
                <w:color w:val="000000"/>
                <w:sz w:val="21"/>
                <w:szCs w:val="21"/>
                <w:lang w:eastAsia="zh-CN"/>
              </w:rPr>
              <w:t>前一天进入Ⅰ期</w:t>
            </w:r>
            <w:r>
              <w:rPr>
                <w:rFonts w:hint="eastAsia"/>
                <w:color w:val="000000"/>
                <w:sz w:val="21"/>
                <w:szCs w:val="21"/>
                <w:lang w:eastAsia="zh-CN"/>
              </w:rPr>
              <w:t>临床研究中心</w:t>
            </w:r>
            <w:r>
              <w:rPr>
                <w:color w:val="000000"/>
                <w:sz w:val="21"/>
                <w:szCs w:val="21"/>
                <w:lang w:eastAsia="zh-CN"/>
              </w:rPr>
              <w:t>，禁食10h以上</w:t>
            </w:r>
            <w:r>
              <w:rPr>
                <w:rFonts w:hint="eastAsia"/>
                <w:color w:val="000000"/>
                <w:sz w:val="21"/>
                <w:szCs w:val="21"/>
                <w:lang w:eastAsia="zh-CN"/>
              </w:rPr>
              <w:t>。试验当天早上</w:t>
            </w:r>
            <w:r>
              <w:rPr>
                <w:color w:val="000000"/>
                <w:sz w:val="21"/>
                <w:szCs w:val="21"/>
                <w:lang w:eastAsia="zh-CN"/>
              </w:rPr>
              <w:t>空腹口服</w:t>
            </w:r>
            <w:r>
              <w:rPr>
                <w:rFonts w:hint="eastAsia"/>
                <w:sz w:val="21"/>
                <w:szCs w:val="21"/>
                <w:lang w:eastAsia="zh-CN"/>
              </w:rPr>
              <w:t>XXXXXX</w:t>
            </w:r>
            <w:r>
              <w:rPr>
                <w:sz w:val="21"/>
                <w:szCs w:val="21"/>
                <w:lang w:eastAsia="zh-TW"/>
              </w:rPr>
              <w:t>生产</w:t>
            </w:r>
            <w:r>
              <w:rPr>
                <w:sz w:val="21"/>
                <w:szCs w:val="21"/>
                <w:lang w:eastAsia="zh-CN"/>
              </w:rPr>
              <w:t>的受试制剂</w:t>
            </w:r>
            <w:r>
              <w:rPr>
                <w:sz w:val="21"/>
                <w:szCs w:val="21"/>
                <w:lang w:eastAsia="zh-TW"/>
              </w:rPr>
              <w:fldChar w:fldCharType="begin"/>
            </w:r>
            <w:r>
              <w:rPr>
                <w:sz w:val="21"/>
                <w:szCs w:val="21"/>
                <w:lang w:eastAsia="zh-TW"/>
              </w:rPr>
              <w:instrText xml:space="preserve"> MERGEFIELD  T受试制剂 </w:instrText>
            </w:r>
            <w:r>
              <w:rPr>
                <w:sz w:val="21"/>
                <w:szCs w:val="21"/>
                <w:lang w:eastAsia="zh-TW"/>
              </w:rPr>
              <w:fldChar w:fldCharType="separate"/>
            </w:r>
            <w:r>
              <w:rPr>
                <w:rFonts w:hint="eastAsia"/>
                <w:sz w:val="21"/>
                <w:szCs w:val="21"/>
                <w:lang w:eastAsia="zh-CN"/>
              </w:rPr>
              <w:t>XXXXXX</w:t>
            </w:r>
            <w:r>
              <w:rPr>
                <w:sz w:val="21"/>
                <w:szCs w:val="21"/>
                <w:lang w:eastAsia="zh-TW"/>
              </w:rPr>
              <w:fldChar w:fldCharType="end"/>
            </w:r>
            <w:r>
              <w:rPr>
                <w:sz w:val="21"/>
                <w:szCs w:val="21"/>
                <w:lang w:eastAsia="zh-CN"/>
              </w:rPr>
              <w:t>（</w:t>
            </w:r>
            <w:r>
              <w:rPr>
                <w:sz w:val="21"/>
                <w:szCs w:val="21"/>
                <w:lang w:eastAsia="zh-TW"/>
              </w:rPr>
              <w:t>规格：</w:t>
            </w:r>
            <w:r>
              <w:rPr>
                <w:sz w:val="21"/>
                <w:szCs w:val="21"/>
                <w:lang w:eastAsia="zh-TW"/>
              </w:rPr>
              <w:fldChar w:fldCharType="begin"/>
            </w:r>
            <w:r>
              <w:rPr>
                <w:sz w:val="21"/>
                <w:szCs w:val="21"/>
                <w:lang w:eastAsia="zh-TW"/>
              </w:rPr>
              <w:instrText xml:space="preserve"> MERGEFIELD  T规格 </w:instrText>
            </w:r>
            <w:r>
              <w:rPr>
                <w:sz w:val="21"/>
                <w:szCs w:val="21"/>
                <w:lang w:eastAsia="zh-TW"/>
              </w:rPr>
              <w:fldChar w:fldCharType="separate"/>
            </w:r>
            <w:r>
              <w:rPr>
                <w:rFonts w:hint="eastAsia"/>
                <w:sz w:val="21"/>
                <w:szCs w:val="21"/>
                <w:lang w:eastAsia="zh-CN"/>
              </w:rPr>
              <w:t>XX</w:t>
            </w:r>
            <w:r>
              <w:rPr>
                <w:sz w:val="21"/>
                <w:szCs w:val="21"/>
                <w:lang w:eastAsia="zh-TW"/>
              </w:rPr>
              <w:t>g/片</w:t>
            </w:r>
            <w:r>
              <w:rPr>
                <w:sz w:val="21"/>
                <w:szCs w:val="21"/>
                <w:lang w:eastAsia="zh-TW"/>
              </w:rPr>
              <w:fldChar w:fldCharType="end"/>
            </w:r>
            <w:r>
              <w:rPr>
                <w:sz w:val="21"/>
                <w:szCs w:val="21"/>
                <w:lang w:eastAsia="zh-TW"/>
              </w:rPr>
              <w:t>）</w:t>
            </w:r>
            <w:r>
              <w:rPr>
                <w:rFonts w:hint="eastAsia"/>
                <w:sz w:val="21"/>
                <w:szCs w:val="21"/>
                <w:lang w:eastAsia="zh-CN"/>
              </w:rPr>
              <w:t>或</w:t>
            </w:r>
            <w:r>
              <w:rPr>
                <w:rFonts w:hint="eastAsia"/>
                <w:color w:val="000000"/>
                <w:sz w:val="21"/>
                <w:szCs w:val="21"/>
                <w:lang w:eastAsia="zh-CN" w:bidi="ar"/>
              </w:rPr>
              <w:t>XXXXXX</w:t>
            </w:r>
            <w:r>
              <w:rPr>
                <w:sz w:val="21"/>
                <w:szCs w:val="21"/>
                <w:lang w:eastAsia="zh-CN"/>
              </w:rPr>
              <w:t>生产的参比制剂</w:t>
            </w:r>
            <w:r>
              <w:rPr>
                <w:sz w:val="21"/>
                <w:szCs w:val="21"/>
              </w:rPr>
              <w:fldChar w:fldCharType="begin"/>
            </w:r>
            <w:r>
              <w:rPr>
                <w:sz w:val="21"/>
                <w:szCs w:val="21"/>
                <w:lang w:eastAsia="zh-CN"/>
              </w:rPr>
              <w:instrText xml:space="preserve"> MERGEFIELD  R参比制剂  \* MERGEFORMAT </w:instrText>
            </w:r>
            <w:r>
              <w:rPr>
                <w:sz w:val="21"/>
                <w:szCs w:val="21"/>
              </w:rPr>
              <w:fldChar w:fldCharType="separate"/>
            </w:r>
            <w:r>
              <w:rPr>
                <w:rFonts w:hint="eastAsia"/>
                <w:sz w:val="21"/>
                <w:szCs w:val="21"/>
                <w:lang w:eastAsia="zh-CN"/>
              </w:rPr>
              <w:t>XXXXXX</w:t>
            </w:r>
            <w:r>
              <w:rPr>
                <w:sz w:val="21"/>
                <w:szCs w:val="21"/>
                <w:lang w:eastAsia="zh-TW"/>
              </w:rPr>
              <w:fldChar w:fldCharType="end"/>
            </w:r>
            <w:r>
              <w:rPr>
                <w:sz w:val="21"/>
                <w:szCs w:val="21"/>
                <w:lang w:eastAsia="zh-CN"/>
              </w:rPr>
              <w:t>（商品名：</w:t>
            </w:r>
            <w:r>
              <w:rPr>
                <w:rFonts w:hint="eastAsia"/>
                <w:color w:val="000000"/>
                <w:sz w:val="21"/>
                <w:szCs w:val="21"/>
                <w:lang w:eastAsia="zh-CN" w:bidi="ar"/>
              </w:rPr>
              <w:t>XXX</w:t>
            </w:r>
            <w:r>
              <w:rPr>
                <w:sz w:val="21"/>
                <w:szCs w:val="21"/>
                <w:lang w:eastAsia="zh-CN"/>
              </w:rPr>
              <w:t>；规格：</w:t>
            </w:r>
            <w:r>
              <w:rPr>
                <w:rFonts w:hint="eastAsia"/>
                <w:sz w:val="21"/>
                <w:szCs w:val="21"/>
                <w:lang w:eastAsia="zh-CN"/>
              </w:rPr>
              <w:t>XX</w:t>
            </w:r>
            <w:r>
              <w:rPr>
                <w:sz w:val="21"/>
                <w:szCs w:val="21"/>
                <w:lang w:eastAsia="zh-CN"/>
              </w:rPr>
              <w:t>g/片</w:t>
            </w:r>
            <w:r>
              <w:rPr>
                <w:rFonts w:hint="eastAsia"/>
                <w:sz w:val="21"/>
                <w:szCs w:val="21"/>
                <w:lang w:eastAsia="zh-CN"/>
              </w:rPr>
              <w:t>）</w:t>
            </w:r>
            <w:r>
              <w:rPr>
                <w:color w:val="000000"/>
                <w:sz w:val="21"/>
                <w:szCs w:val="21"/>
                <w:lang w:eastAsia="zh-CN"/>
              </w:rPr>
              <w:t>，240mL</w:t>
            </w:r>
            <w:r>
              <w:rPr>
                <w:rFonts w:hint="eastAsia"/>
                <w:color w:val="000000"/>
                <w:sz w:val="21"/>
                <w:szCs w:val="21"/>
                <w:lang w:eastAsia="zh-CN"/>
              </w:rPr>
              <w:t>温水</w:t>
            </w:r>
            <w:r>
              <w:rPr>
                <w:color w:val="000000"/>
                <w:sz w:val="21"/>
                <w:szCs w:val="21"/>
                <w:lang w:eastAsia="zh-CN"/>
              </w:rPr>
              <w:t>送服</w:t>
            </w:r>
            <w:r>
              <w:rPr>
                <w:rFonts w:hint="eastAsia"/>
                <w:color w:val="000000"/>
                <w:sz w:val="21"/>
                <w:szCs w:val="21"/>
                <w:lang w:eastAsia="zh-CN"/>
              </w:rPr>
              <w:t>。于给药前0h（给药前60min内）和给药后</w:t>
            </w:r>
            <w:r>
              <w:rPr>
                <w:sz w:val="21"/>
                <w:szCs w:val="21"/>
                <w:lang w:eastAsia="zh-CN"/>
              </w:rPr>
              <w:t>0.5、1.0、1.5、2.0、2.</w:t>
            </w:r>
            <w:r>
              <w:rPr>
                <w:rFonts w:hint="eastAsia"/>
                <w:sz w:val="21"/>
                <w:szCs w:val="21"/>
                <w:lang w:eastAsia="zh-CN"/>
              </w:rPr>
              <w:t>33</w:t>
            </w:r>
            <w:r>
              <w:rPr>
                <w:sz w:val="21"/>
                <w:szCs w:val="21"/>
                <w:lang w:eastAsia="zh-CN"/>
              </w:rPr>
              <w:t>、</w:t>
            </w:r>
            <w:r>
              <w:rPr>
                <w:rFonts w:hint="eastAsia"/>
                <w:sz w:val="21"/>
                <w:szCs w:val="21"/>
                <w:lang w:eastAsia="zh-CN"/>
              </w:rPr>
              <w:t>2.67、</w:t>
            </w:r>
            <w:r>
              <w:rPr>
                <w:sz w:val="21"/>
                <w:szCs w:val="21"/>
                <w:lang w:eastAsia="zh-CN"/>
              </w:rPr>
              <w:t>3.0、3.</w:t>
            </w:r>
            <w:r>
              <w:rPr>
                <w:rFonts w:hint="eastAsia"/>
                <w:sz w:val="21"/>
                <w:szCs w:val="21"/>
                <w:lang w:eastAsia="zh-CN"/>
              </w:rPr>
              <w:t>33</w:t>
            </w:r>
            <w:r>
              <w:rPr>
                <w:sz w:val="21"/>
                <w:szCs w:val="21"/>
                <w:lang w:eastAsia="zh-CN"/>
              </w:rPr>
              <w:t>、</w:t>
            </w:r>
            <w:r>
              <w:rPr>
                <w:rFonts w:hint="eastAsia"/>
                <w:sz w:val="21"/>
                <w:szCs w:val="21"/>
                <w:lang w:eastAsia="zh-CN"/>
              </w:rPr>
              <w:t>3.67、</w:t>
            </w:r>
            <w:r>
              <w:rPr>
                <w:sz w:val="21"/>
                <w:szCs w:val="21"/>
                <w:lang w:eastAsia="zh-CN"/>
              </w:rPr>
              <w:t>4.0、</w:t>
            </w:r>
            <w:r>
              <w:rPr>
                <w:rFonts w:hint="eastAsia"/>
                <w:sz w:val="21"/>
                <w:szCs w:val="21"/>
                <w:lang w:eastAsia="zh-CN"/>
              </w:rPr>
              <w:t>4.5、</w:t>
            </w:r>
            <w:r>
              <w:rPr>
                <w:sz w:val="21"/>
                <w:szCs w:val="21"/>
                <w:lang w:eastAsia="zh-CN"/>
              </w:rPr>
              <w:t>5.0、6.0、</w:t>
            </w:r>
            <w:r>
              <w:rPr>
                <w:rFonts w:hint="eastAsia"/>
                <w:sz w:val="21"/>
                <w:szCs w:val="21"/>
                <w:lang w:eastAsia="zh-CN"/>
              </w:rPr>
              <w:t>9</w:t>
            </w:r>
            <w:r>
              <w:rPr>
                <w:sz w:val="21"/>
                <w:szCs w:val="21"/>
                <w:lang w:eastAsia="zh-CN"/>
              </w:rPr>
              <w:t>.0、12.0、24.0、36.0、48.0h</w:t>
            </w:r>
            <w:r>
              <w:rPr>
                <w:rFonts w:hint="eastAsia"/>
                <w:color w:val="000000"/>
                <w:sz w:val="21"/>
                <w:szCs w:val="21"/>
                <w:lang w:eastAsia="zh-CN"/>
              </w:rPr>
              <w:t>，总计采集19个采血点</w:t>
            </w:r>
            <w:r>
              <w:rPr>
                <w:sz w:val="21"/>
                <w:szCs w:val="21"/>
                <w:lang w:eastAsia="zh-CN"/>
              </w:rPr>
              <w:t>，</w:t>
            </w:r>
            <w:r>
              <w:rPr>
                <w:color w:val="000000"/>
                <w:sz w:val="21"/>
                <w:szCs w:val="21"/>
                <w:lang w:eastAsia="zh-CN"/>
              </w:rPr>
              <w:t>采集静脉血，每次取血约3ml至</w:t>
            </w:r>
            <w:r>
              <w:rPr>
                <w:rFonts w:hint="eastAsia"/>
                <w:color w:val="000000"/>
                <w:sz w:val="21"/>
                <w:szCs w:val="21"/>
                <w:lang w:eastAsia="zh-CN"/>
              </w:rPr>
              <w:t>含有EDTA-K</w:t>
            </w:r>
            <w:r>
              <w:rPr>
                <w:rFonts w:hint="eastAsia"/>
                <w:color w:val="000000"/>
                <w:sz w:val="21"/>
                <w:szCs w:val="21"/>
                <w:vertAlign w:val="subscript"/>
                <w:lang w:eastAsia="zh-CN"/>
              </w:rPr>
              <w:t>2</w:t>
            </w:r>
            <w:r>
              <w:rPr>
                <w:rFonts w:hint="eastAsia"/>
                <w:color w:val="000000"/>
                <w:sz w:val="21"/>
                <w:szCs w:val="21"/>
                <w:lang w:eastAsia="zh-CN"/>
              </w:rPr>
              <w:t>抗凝剂的</w:t>
            </w:r>
            <w:r>
              <w:rPr>
                <w:color w:val="000000"/>
                <w:sz w:val="21"/>
                <w:szCs w:val="21"/>
                <w:lang w:eastAsia="zh-CN"/>
              </w:rPr>
              <w:t>真空采血管中</w:t>
            </w:r>
            <w:r>
              <w:rPr>
                <w:rFonts w:hint="eastAsia"/>
                <w:color w:val="000000"/>
                <w:sz w:val="21"/>
                <w:szCs w:val="21"/>
                <w:lang w:eastAsia="zh-CN"/>
              </w:rPr>
              <w:t>，</w:t>
            </w:r>
            <w:r>
              <w:rPr>
                <w:color w:val="000000"/>
                <w:sz w:val="21"/>
                <w:szCs w:val="21"/>
                <w:lang w:eastAsia="zh-CN"/>
              </w:rPr>
              <w:t>所有离心后血浆样品将被分成两份</w:t>
            </w:r>
            <w:r>
              <w:rPr>
                <w:rFonts w:hint="eastAsia"/>
                <w:color w:val="000000"/>
                <w:sz w:val="21"/>
                <w:szCs w:val="21"/>
                <w:lang w:eastAsia="zh-CN"/>
              </w:rPr>
              <w:t>，暂存于-20℃</w:t>
            </w:r>
            <w:r>
              <w:rPr>
                <w:rFonts w:hint="eastAsia"/>
                <w:color w:val="000000"/>
                <w:sz w:val="21"/>
                <w:szCs w:val="21"/>
                <w:lang w:val="en-US" w:eastAsia="zh-CN"/>
              </w:rPr>
              <w:t>或以下</w:t>
            </w:r>
            <w:r>
              <w:rPr>
                <w:rFonts w:hint="eastAsia"/>
                <w:color w:val="000000"/>
                <w:sz w:val="21"/>
                <w:szCs w:val="21"/>
                <w:lang w:eastAsia="zh-CN"/>
              </w:rPr>
              <w:t>冰箱，</w:t>
            </w:r>
            <w:r>
              <w:rPr>
                <w:rFonts w:hint="eastAsia"/>
                <w:color w:val="000000"/>
                <w:sz w:val="21"/>
                <w:szCs w:val="21"/>
                <w:lang w:val="en-US" w:eastAsia="zh-CN"/>
              </w:rPr>
              <w:t>并于</w:t>
            </w:r>
            <w:r>
              <w:rPr>
                <w:rFonts w:hint="eastAsia"/>
                <w:color w:val="000000"/>
                <w:sz w:val="21"/>
                <w:szCs w:val="21"/>
                <w:lang w:eastAsia="zh-CN"/>
              </w:rPr>
              <w:t>24</w:t>
            </w:r>
            <w:r>
              <w:rPr>
                <w:rFonts w:hint="eastAsia"/>
                <w:color w:val="000000"/>
                <w:sz w:val="21"/>
                <w:szCs w:val="21"/>
                <w:lang w:val="en-US" w:eastAsia="zh-CN"/>
              </w:rPr>
              <w:t>h</w:t>
            </w:r>
            <w:r>
              <w:rPr>
                <w:rFonts w:hint="eastAsia"/>
                <w:color w:val="000000"/>
                <w:sz w:val="21"/>
                <w:szCs w:val="21"/>
                <w:lang w:eastAsia="zh-CN"/>
              </w:rPr>
              <w:t>内转移至</w:t>
            </w:r>
            <w:r>
              <w:rPr>
                <w:color w:val="000000"/>
                <w:sz w:val="21"/>
                <w:szCs w:val="21"/>
                <w:lang w:eastAsia="zh-CN"/>
              </w:rPr>
              <w:t>-60</w:t>
            </w:r>
            <w:r>
              <w:rPr>
                <w:rFonts w:hint="eastAsia" w:cs="宋体"/>
                <w:color w:val="000000"/>
                <w:sz w:val="21"/>
                <w:szCs w:val="21"/>
                <w:lang w:eastAsia="zh-CN"/>
              </w:rPr>
              <w:t>℃</w:t>
            </w:r>
            <w:r>
              <w:rPr>
                <w:color w:val="000000"/>
                <w:sz w:val="21"/>
                <w:szCs w:val="21"/>
                <w:lang w:eastAsia="zh-CN"/>
              </w:rPr>
              <w:t>~-90</w:t>
            </w:r>
            <w:r>
              <w:rPr>
                <w:rFonts w:hint="eastAsia" w:cs="宋体"/>
                <w:color w:val="000000"/>
                <w:sz w:val="21"/>
                <w:szCs w:val="21"/>
                <w:lang w:eastAsia="zh-CN"/>
              </w:rPr>
              <w:t>℃</w:t>
            </w:r>
            <w:r>
              <w:rPr>
                <w:color w:val="000000"/>
                <w:sz w:val="21"/>
                <w:szCs w:val="21"/>
                <w:lang w:eastAsia="zh-CN"/>
              </w:rPr>
              <w:t>冰箱中</w:t>
            </w:r>
            <w:r>
              <w:rPr>
                <w:rFonts w:hint="eastAsia"/>
                <w:color w:val="000000"/>
                <w:sz w:val="21"/>
                <w:szCs w:val="21"/>
                <w:lang w:eastAsia="zh-CN"/>
              </w:rPr>
              <w:t>，</w:t>
            </w:r>
            <w:r>
              <w:rPr>
                <w:color w:val="000000"/>
                <w:sz w:val="21"/>
                <w:szCs w:val="21"/>
                <w:lang w:eastAsia="zh-CN"/>
              </w:rPr>
              <w:t>以供药代动力学分析，待采集完</w:t>
            </w:r>
            <w:r>
              <w:rPr>
                <w:rFonts w:hint="eastAsia"/>
                <w:color w:val="000000"/>
                <w:sz w:val="21"/>
                <w:szCs w:val="21"/>
                <w:lang w:val="en-US" w:eastAsia="zh-CN"/>
              </w:rPr>
              <w:t>全部</w:t>
            </w:r>
            <w:r>
              <w:rPr>
                <w:color w:val="000000"/>
                <w:sz w:val="21"/>
                <w:szCs w:val="21"/>
                <w:lang w:eastAsia="zh-CN"/>
              </w:rPr>
              <w:t>受试者</w:t>
            </w:r>
            <w:r>
              <w:rPr>
                <w:rFonts w:hint="eastAsia"/>
                <w:color w:val="000000"/>
                <w:sz w:val="21"/>
                <w:szCs w:val="21"/>
                <w:lang w:val="en-US" w:eastAsia="zh-CN"/>
              </w:rPr>
              <w:t>两周期</w:t>
            </w:r>
            <w:r>
              <w:rPr>
                <w:color w:val="000000"/>
                <w:sz w:val="21"/>
                <w:szCs w:val="21"/>
                <w:lang w:eastAsia="zh-CN"/>
              </w:rPr>
              <w:t>血样后，将血浆样本转运至分析测试中心进行血药浓度测定</w:t>
            </w:r>
            <w:r>
              <w:rPr>
                <w:rFonts w:hint="eastAsia"/>
                <w:color w:val="000000"/>
                <w:sz w:val="21"/>
                <w:szCs w:val="21"/>
                <w:lang w:eastAsia="zh-CN"/>
              </w:rPr>
              <w:t>。</w:t>
            </w:r>
          </w:p>
          <w:p>
            <w:pPr>
              <w:ind w:left="0" w:leftChars="0" w:firstLine="420" w:firstLineChars="200"/>
              <w:rPr>
                <w:sz w:val="21"/>
                <w:szCs w:val="21"/>
                <w:lang w:eastAsia="zh-TW"/>
              </w:rPr>
            </w:pPr>
            <w:r>
              <w:rPr>
                <w:rFonts w:hint="eastAsia" w:ascii="Times New Roman" w:hAnsi="Times New Roman" w:eastAsia="宋体" w:cs="Times New Roman"/>
                <w:color w:val="000000"/>
                <w:sz w:val="21"/>
                <w:szCs w:val="21"/>
                <w:lang w:val="en-US" w:eastAsia="zh-CN"/>
              </w:rPr>
              <w:t>受试者在第一周期采集完末次</w:t>
            </w:r>
            <w:r>
              <w:rPr>
                <w:rFonts w:hint="default" w:ascii="Times New Roman" w:hAnsi="Times New Roman" w:eastAsia="宋体" w:cs="Times New Roman"/>
                <w:color w:val="000000"/>
                <w:sz w:val="21"/>
                <w:szCs w:val="21"/>
                <w:lang w:eastAsia="zh-CN"/>
              </w:rPr>
              <w:t>药动学血样的</w:t>
            </w:r>
            <w:r>
              <w:rPr>
                <w:rFonts w:hint="eastAsia" w:ascii="Times New Roman" w:hAnsi="Times New Roman" w:eastAsia="宋体" w:cs="Times New Roman"/>
                <w:color w:val="000000"/>
                <w:sz w:val="21"/>
                <w:szCs w:val="21"/>
                <w:lang w:val="en-US" w:eastAsia="zh-CN"/>
              </w:rPr>
              <w:t>当天</w:t>
            </w:r>
            <w:r>
              <w:rPr>
                <w:rFonts w:hint="default" w:ascii="Times New Roman" w:hAnsi="Times New Roman" w:eastAsia="宋体" w:cs="Times New Roman"/>
                <w:color w:val="000000"/>
                <w:sz w:val="21"/>
                <w:szCs w:val="21"/>
                <w:lang w:val="en-US" w:eastAsia="zh-CN"/>
              </w:rPr>
              <w:t>完成安全性评估后，可</w:t>
            </w:r>
            <w:r>
              <w:rPr>
                <w:rFonts w:hint="default" w:ascii="Times New Roman" w:hAnsi="Times New Roman" w:eastAsia="宋体" w:cs="Times New Roman"/>
                <w:color w:val="000000"/>
                <w:sz w:val="21"/>
                <w:szCs w:val="21"/>
                <w:lang w:eastAsia="zh-CN"/>
              </w:rPr>
              <w:t>从Ⅰ期临床研究中心离开。第二周期操作程序同第一周期。</w:t>
            </w:r>
            <w:r>
              <w:rPr>
                <w:rFonts w:hint="eastAsia"/>
                <w:color w:val="0000FF"/>
                <w:sz w:val="21"/>
                <w:szCs w:val="21"/>
                <w:lang w:val="en-US" w:eastAsia="zh-CN"/>
              </w:rPr>
              <w:t>完成两周期试验或服药后提前退出的受试者于出组当天</w:t>
            </w:r>
            <w:r>
              <w:rPr>
                <w:rFonts w:hint="default" w:ascii="Times New Roman" w:hAnsi="Times New Roman" w:eastAsia="宋体" w:cs="Times New Roman"/>
                <w:color w:val="000000"/>
                <w:sz w:val="21"/>
                <w:szCs w:val="21"/>
                <w:highlight w:val="none"/>
                <w:lang w:eastAsia="zh-CN"/>
              </w:rPr>
              <w:t>进行</w:t>
            </w:r>
            <w:r>
              <w:rPr>
                <w:rFonts w:hint="default" w:ascii="Times New Roman" w:hAnsi="Times New Roman" w:eastAsia="宋体" w:cs="Times New Roman"/>
                <w:color w:val="000000"/>
                <w:sz w:val="21"/>
                <w:szCs w:val="21"/>
                <w:highlight w:val="none"/>
                <w:lang w:val="en-US" w:eastAsia="zh-CN"/>
              </w:rPr>
              <w:t>安全性检查，包括：</w:t>
            </w:r>
            <w:r>
              <w:rPr>
                <w:rFonts w:hint="default" w:ascii="Times New Roman" w:hAnsi="Times New Roman" w:eastAsia="宋体" w:cs="Times New Roman"/>
                <w:color w:val="000000"/>
                <w:sz w:val="21"/>
                <w:szCs w:val="21"/>
                <w:highlight w:val="none"/>
                <w:lang w:eastAsia="zh-CN"/>
              </w:rPr>
              <w:t>体格检查、生命体征检查、12-导联心电图及实验室相关检查</w:t>
            </w:r>
            <w:r>
              <w:rPr>
                <w:rFonts w:hint="default" w:ascii="Times New Roman" w:hAnsi="Times New Roman" w:eastAsia="宋体" w:cs="Times New Roman"/>
                <w:color w:val="0000FF"/>
                <w:sz w:val="21"/>
                <w:szCs w:val="21"/>
                <w:highlight w:val="none"/>
                <w:lang w:eastAsia="zh-CN"/>
              </w:rPr>
              <w:t>。</w:t>
            </w:r>
            <w:r>
              <w:rPr>
                <w:rFonts w:hint="default"/>
                <w:sz w:val="21"/>
                <w:szCs w:val="21"/>
                <w:lang w:val="en-US" w:eastAsia="zh-CN"/>
              </w:rPr>
              <w:t>如果受试者在研究结束后仍然有未解决的不良事件/反应、具有临床意义的体检异常和/或实验室检查异常，应当安排相应的随访</w:t>
            </w:r>
            <w:r>
              <w:rPr>
                <w:rFonts w:hint="eastAsia"/>
                <w:sz w:val="21"/>
                <w:szCs w:val="21"/>
                <w:lang w:val="en-US" w:eastAsia="zh-CN"/>
              </w:rPr>
              <w:t>；</w:t>
            </w:r>
            <w:r>
              <w:rPr>
                <w:rFonts w:hint="default"/>
                <w:sz w:val="21"/>
                <w:szCs w:val="21"/>
                <w:lang w:val="en-US" w:eastAsia="zh-CN"/>
              </w:rPr>
              <w:t>受试者出组后（包括提前出组）后一周内若发生后续的不良事件，</w:t>
            </w:r>
            <w:r>
              <w:rPr>
                <w:rFonts w:hint="eastAsia"/>
                <w:sz w:val="21"/>
                <w:szCs w:val="21"/>
                <w:lang w:val="en-US" w:eastAsia="zh-CN"/>
              </w:rPr>
              <w:t>应主动告知研究者</w:t>
            </w:r>
            <w:r>
              <w:rPr>
                <w:sz w:val="21"/>
                <w:szCs w:val="21"/>
                <w:lang w:eastAsia="zh-CN"/>
              </w:rPr>
              <w:t>。</w:t>
            </w:r>
          </w:p>
          <w:p>
            <w:pPr>
              <w:widowControl w:val="0"/>
              <w:autoSpaceDE w:val="0"/>
              <w:autoSpaceDN w:val="0"/>
              <w:adjustRightInd w:val="0"/>
              <w:spacing w:line="348" w:lineRule="auto"/>
              <w:ind w:left="719" w:hanging="719" w:hangingChars="341"/>
              <w:contextualSpacing/>
              <w:rPr>
                <w:b/>
                <w:color w:val="000000"/>
                <w:sz w:val="21"/>
                <w:szCs w:val="21"/>
                <w:lang w:eastAsia="zh-CN"/>
              </w:rPr>
            </w:pPr>
            <w:r>
              <w:rPr>
                <w:rFonts w:hint="eastAsia"/>
                <w:b/>
                <w:color w:val="000000"/>
                <w:sz w:val="21"/>
                <w:szCs w:val="21"/>
                <w:lang w:eastAsia="zh-CN"/>
              </w:rPr>
              <w:t>高脂餐后给药生物等效性试验</w:t>
            </w:r>
          </w:p>
          <w:p>
            <w:pPr>
              <w:widowControl w:val="0"/>
              <w:autoSpaceDE w:val="0"/>
              <w:autoSpaceDN w:val="0"/>
              <w:adjustRightInd w:val="0"/>
              <w:spacing w:line="348" w:lineRule="auto"/>
              <w:ind w:left="0" w:firstLine="420" w:firstLineChars="200"/>
              <w:contextualSpacing/>
              <w:rPr>
                <w:color w:val="000000"/>
                <w:sz w:val="21"/>
                <w:szCs w:val="21"/>
                <w:lang w:eastAsia="zh-CN"/>
              </w:rPr>
            </w:pPr>
            <w:r>
              <w:rPr>
                <w:rFonts w:hint="eastAsia"/>
                <w:sz w:val="21"/>
                <w:szCs w:val="21"/>
                <w:lang w:eastAsia="zh-TW"/>
              </w:rPr>
              <w:t>采用单中心、</w:t>
            </w:r>
            <w:r>
              <w:rPr>
                <w:rFonts w:hint="eastAsia"/>
                <w:sz w:val="21"/>
                <w:szCs w:val="21"/>
                <w:lang w:val="zh-TW" w:eastAsia="zh-CN"/>
              </w:rPr>
              <w:t>随机、开放、单剂量、两制剂、两序列、两周期交叉试验设计方法（</w:t>
            </w:r>
            <w:r>
              <w:rPr>
                <w:color w:val="000000"/>
                <w:sz w:val="21"/>
                <w:szCs w:val="21"/>
                <w:lang w:eastAsia="zh-CN"/>
              </w:rPr>
              <w:t>清洗期为</w:t>
            </w:r>
            <w:r>
              <w:rPr>
                <w:color w:val="000000"/>
                <w:sz w:val="21"/>
                <w:szCs w:val="21"/>
                <w:lang w:eastAsia="zh-CN"/>
              </w:rPr>
              <w:fldChar w:fldCharType="begin"/>
            </w:r>
            <w:r>
              <w:rPr>
                <w:color w:val="000000"/>
                <w:sz w:val="21"/>
                <w:szCs w:val="21"/>
                <w:lang w:eastAsia="zh-CN"/>
              </w:rPr>
              <w:instrText xml:space="preserve"> </w:instrText>
            </w:r>
            <w:r>
              <w:rPr>
                <w:rFonts w:hint="eastAsia"/>
                <w:color w:val="000000"/>
                <w:sz w:val="21"/>
                <w:szCs w:val="21"/>
                <w:lang w:eastAsia="zh-CN"/>
              </w:rPr>
              <w:instrText xml:space="preserve">MERGEFIELD 洗脱期</w:instrText>
            </w:r>
            <w:r>
              <w:rPr>
                <w:color w:val="000000"/>
                <w:sz w:val="21"/>
                <w:szCs w:val="21"/>
                <w:lang w:eastAsia="zh-CN"/>
              </w:rPr>
              <w:instrText xml:space="preserve"> </w:instrText>
            </w:r>
            <w:r>
              <w:rPr>
                <w:color w:val="000000"/>
                <w:sz w:val="21"/>
                <w:szCs w:val="21"/>
                <w:lang w:eastAsia="zh-CN"/>
              </w:rPr>
              <w:fldChar w:fldCharType="separate"/>
            </w:r>
            <w:r>
              <w:rPr>
                <w:color w:val="000000"/>
                <w:sz w:val="21"/>
                <w:szCs w:val="21"/>
                <w:lang w:eastAsia="zh-CN"/>
              </w:rPr>
              <w:t>7</w:t>
            </w:r>
            <w:r>
              <w:rPr>
                <w:color w:val="000000"/>
                <w:sz w:val="21"/>
                <w:szCs w:val="21"/>
                <w:lang w:eastAsia="zh-CN"/>
              </w:rPr>
              <w:fldChar w:fldCharType="end"/>
            </w:r>
            <w:r>
              <w:rPr>
                <w:color w:val="000000"/>
                <w:sz w:val="21"/>
                <w:szCs w:val="21"/>
                <w:lang w:eastAsia="zh-CN"/>
              </w:rPr>
              <w:t>天</w:t>
            </w:r>
            <w:r>
              <w:rPr>
                <w:rFonts w:hint="eastAsia"/>
                <w:sz w:val="21"/>
                <w:szCs w:val="21"/>
                <w:lang w:val="zh-TW" w:eastAsia="zh-CN"/>
              </w:rPr>
              <w:t>），</w:t>
            </w:r>
            <w:r>
              <w:rPr>
                <w:color w:val="000000"/>
                <w:sz w:val="21"/>
                <w:szCs w:val="21"/>
                <w:lang w:eastAsia="zh-CN"/>
              </w:rPr>
              <w:t>将筛选合格的</w:t>
            </w:r>
            <w:r>
              <w:rPr>
                <w:rFonts w:hint="eastAsia"/>
                <w:sz w:val="21"/>
                <w:szCs w:val="21"/>
                <w:lang w:eastAsia="zh-CN"/>
              </w:rPr>
              <w:t>24</w:t>
            </w:r>
            <w:r>
              <w:rPr>
                <w:color w:val="000000"/>
                <w:sz w:val="21"/>
                <w:szCs w:val="21"/>
                <w:lang w:eastAsia="zh-CN"/>
              </w:rPr>
              <w:t>名健康受试者（包含男性和女性受试者）随机分为2组，T-R组和R-T组，每组</w:t>
            </w:r>
            <w:r>
              <w:rPr>
                <w:rFonts w:hint="eastAsia"/>
                <w:sz w:val="21"/>
                <w:szCs w:val="21"/>
                <w:lang w:eastAsia="zh-CN"/>
              </w:rPr>
              <w:t>12</w:t>
            </w:r>
            <w:r>
              <w:rPr>
                <w:color w:val="000000"/>
                <w:sz w:val="21"/>
                <w:szCs w:val="21"/>
                <w:lang w:eastAsia="zh-CN"/>
              </w:rPr>
              <w:t>人。入选的受试者于每周期</w:t>
            </w:r>
            <w:r>
              <w:rPr>
                <w:rFonts w:hint="eastAsia"/>
                <w:color w:val="000000"/>
                <w:sz w:val="21"/>
                <w:szCs w:val="21"/>
                <w:lang w:eastAsia="zh-CN"/>
              </w:rPr>
              <w:t>给药</w:t>
            </w:r>
            <w:r>
              <w:rPr>
                <w:color w:val="000000"/>
                <w:sz w:val="21"/>
                <w:szCs w:val="21"/>
                <w:lang w:eastAsia="zh-CN"/>
              </w:rPr>
              <w:t>前一天进入Ⅰ期</w:t>
            </w:r>
            <w:r>
              <w:rPr>
                <w:rFonts w:hint="eastAsia"/>
                <w:color w:val="000000"/>
                <w:sz w:val="21"/>
                <w:szCs w:val="21"/>
                <w:lang w:eastAsia="zh-CN"/>
              </w:rPr>
              <w:t>临床研究中心</w:t>
            </w:r>
            <w:r>
              <w:rPr>
                <w:color w:val="000000"/>
                <w:sz w:val="21"/>
                <w:szCs w:val="21"/>
                <w:lang w:eastAsia="zh-CN"/>
              </w:rPr>
              <w:t>，禁食10h以上</w:t>
            </w:r>
            <w:r>
              <w:rPr>
                <w:rFonts w:hint="eastAsia"/>
                <w:color w:val="000000"/>
                <w:sz w:val="21"/>
                <w:szCs w:val="21"/>
                <w:lang w:eastAsia="zh-CN"/>
              </w:rPr>
              <w:t>。试验当天早上在进食高脂餐后单次服用</w:t>
            </w:r>
            <w:r>
              <w:rPr>
                <w:rFonts w:hint="eastAsia"/>
                <w:sz w:val="21"/>
                <w:szCs w:val="21"/>
                <w:lang w:eastAsia="zh-CN"/>
              </w:rPr>
              <w:t>XXXXXX</w:t>
            </w:r>
            <w:r>
              <w:rPr>
                <w:sz w:val="21"/>
                <w:szCs w:val="21"/>
                <w:lang w:eastAsia="zh-TW"/>
              </w:rPr>
              <w:t>生产</w:t>
            </w:r>
            <w:r>
              <w:rPr>
                <w:sz w:val="21"/>
                <w:szCs w:val="21"/>
                <w:lang w:eastAsia="zh-CN"/>
              </w:rPr>
              <w:t>的受试制剂</w:t>
            </w:r>
            <w:r>
              <w:rPr>
                <w:sz w:val="21"/>
                <w:szCs w:val="21"/>
                <w:lang w:eastAsia="zh-TW"/>
              </w:rPr>
              <w:fldChar w:fldCharType="begin"/>
            </w:r>
            <w:r>
              <w:rPr>
                <w:sz w:val="21"/>
                <w:szCs w:val="21"/>
                <w:lang w:eastAsia="zh-TW"/>
              </w:rPr>
              <w:instrText xml:space="preserve"> MERGEFIELD  T受试制剂 </w:instrText>
            </w:r>
            <w:r>
              <w:rPr>
                <w:sz w:val="21"/>
                <w:szCs w:val="21"/>
                <w:lang w:eastAsia="zh-TW"/>
              </w:rPr>
              <w:fldChar w:fldCharType="separate"/>
            </w:r>
            <w:r>
              <w:rPr>
                <w:rFonts w:hint="eastAsia"/>
                <w:sz w:val="21"/>
                <w:szCs w:val="21"/>
                <w:lang w:eastAsia="zh-CN"/>
              </w:rPr>
              <w:t>XXXXXX</w:t>
            </w:r>
            <w:r>
              <w:rPr>
                <w:sz w:val="21"/>
                <w:szCs w:val="21"/>
                <w:lang w:eastAsia="zh-TW"/>
              </w:rPr>
              <w:fldChar w:fldCharType="end"/>
            </w:r>
            <w:r>
              <w:rPr>
                <w:sz w:val="21"/>
                <w:szCs w:val="21"/>
                <w:lang w:eastAsia="zh-CN"/>
              </w:rPr>
              <w:t>（</w:t>
            </w:r>
            <w:r>
              <w:rPr>
                <w:sz w:val="21"/>
                <w:szCs w:val="21"/>
                <w:lang w:eastAsia="zh-TW"/>
              </w:rPr>
              <w:t>规格：</w:t>
            </w:r>
            <w:r>
              <w:rPr>
                <w:sz w:val="21"/>
                <w:szCs w:val="21"/>
                <w:lang w:eastAsia="zh-TW"/>
              </w:rPr>
              <w:fldChar w:fldCharType="begin"/>
            </w:r>
            <w:r>
              <w:rPr>
                <w:sz w:val="21"/>
                <w:szCs w:val="21"/>
                <w:lang w:eastAsia="zh-TW"/>
              </w:rPr>
              <w:instrText xml:space="preserve"> MERGEFIELD  T规格 </w:instrText>
            </w:r>
            <w:r>
              <w:rPr>
                <w:sz w:val="21"/>
                <w:szCs w:val="21"/>
                <w:lang w:eastAsia="zh-TW"/>
              </w:rPr>
              <w:fldChar w:fldCharType="separate"/>
            </w:r>
            <w:r>
              <w:rPr>
                <w:rFonts w:hint="eastAsia"/>
                <w:sz w:val="21"/>
                <w:szCs w:val="21"/>
                <w:lang w:eastAsia="zh-CN"/>
              </w:rPr>
              <w:t>XX</w:t>
            </w:r>
            <w:r>
              <w:rPr>
                <w:sz w:val="21"/>
                <w:szCs w:val="21"/>
                <w:lang w:eastAsia="zh-TW"/>
              </w:rPr>
              <w:t>g/片</w:t>
            </w:r>
            <w:r>
              <w:rPr>
                <w:sz w:val="21"/>
                <w:szCs w:val="21"/>
                <w:lang w:eastAsia="zh-TW"/>
              </w:rPr>
              <w:fldChar w:fldCharType="end"/>
            </w:r>
            <w:r>
              <w:rPr>
                <w:sz w:val="21"/>
                <w:szCs w:val="21"/>
                <w:lang w:eastAsia="zh-TW"/>
              </w:rPr>
              <w:t>）</w:t>
            </w:r>
            <w:r>
              <w:rPr>
                <w:rFonts w:hint="eastAsia"/>
                <w:sz w:val="21"/>
                <w:szCs w:val="21"/>
                <w:lang w:eastAsia="zh-CN"/>
              </w:rPr>
              <w:t>或</w:t>
            </w:r>
            <w:r>
              <w:rPr>
                <w:rFonts w:hint="eastAsia"/>
                <w:color w:val="000000"/>
                <w:sz w:val="21"/>
                <w:szCs w:val="21"/>
                <w:lang w:eastAsia="zh-CN" w:bidi="ar"/>
              </w:rPr>
              <w:t>XXXXXX</w:t>
            </w:r>
            <w:r>
              <w:rPr>
                <w:sz w:val="21"/>
                <w:szCs w:val="21"/>
                <w:lang w:eastAsia="zh-CN"/>
              </w:rPr>
              <w:t>生产的参比制剂</w:t>
            </w:r>
            <w:r>
              <w:rPr>
                <w:sz w:val="21"/>
                <w:szCs w:val="21"/>
              </w:rPr>
              <w:fldChar w:fldCharType="begin"/>
            </w:r>
            <w:r>
              <w:rPr>
                <w:sz w:val="21"/>
                <w:szCs w:val="21"/>
                <w:lang w:eastAsia="zh-CN"/>
              </w:rPr>
              <w:instrText xml:space="preserve"> MERGEFIELD  R参比制剂  \* MERGEFORMAT </w:instrText>
            </w:r>
            <w:r>
              <w:rPr>
                <w:sz w:val="21"/>
                <w:szCs w:val="21"/>
              </w:rPr>
              <w:fldChar w:fldCharType="separate"/>
            </w:r>
            <w:r>
              <w:rPr>
                <w:rFonts w:hint="eastAsia"/>
                <w:sz w:val="21"/>
                <w:szCs w:val="21"/>
                <w:lang w:eastAsia="zh-CN"/>
              </w:rPr>
              <w:t>XXXXXX</w:t>
            </w:r>
            <w:r>
              <w:rPr>
                <w:sz w:val="21"/>
                <w:szCs w:val="21"/>
                <w:lang w:eastAsia="zh-TW"/>
              </w:rPr>
              <w:fldChar w:fldCharType="end"/>
            </w:r>
            <w:r>
              <w:rPr>
                <w:sz w:val="21"/>
                <w:szCs w:val="21"/>
                <w:lang w:eastAsia="zh-CN"/>
              </w:rPr>
              <w:t>（商品名：</w:t>
            </w:r>
            <w:r>
              <w:rPr>
                <w:rFonts w:hint="eastAsia"/>
                <w:color w:val="000000"/>
                <w:sz w:val="21"/>
                <w:szCs w:val="21"/>
                <w:lang w:eastAsia="zh-CN" w:bidi="ar"/>
              </w:rPr>
              <w:t>XXX</w:t>
            </w:r>
            <w:r>
              <w:rPr>
                <w:sz w:val="21"/>
                <w:szCs w:val="21"/>
                <w:lang w:eastAsia="zh-CN"/>
              </w:rPr>
              <w:t>；规格：</w:t>
            </w:r>
            <w:r>
              <w:rPr>
                <w:rFonts w:hint="eastAsia"/>
                <w:sz w:val="21"/>
                <w:szCs w:val="21"/>
                <w:lang w:eastAsia="zh-CN"/>
              </w:rPr>
              <w:t>XX</w:t>
            </w:r>
            <w:r>
              <w:rPr>
                <w:sz w:val="21"/>
                <w:szCs w:val="21"/>
                <w:lang w:eastAsia="zh-CN"/>
              </w:rPr>
              <w:t>g/片</w:t>
            </w:r>
            <w:r>
              <w:rPr>
                <w:rFonts w:hint="eastAsia"/>
                <w:sz w:val="21"/>
                <w:szCs w:val="21"/>
                <w:lang w:eastAsia="zh-CN"/>
              </w:rPr>
              <w:t>）</w:t>
            </w:r>
            <w:r>
              <w:rPr>
                <w:color w:val="000000"/>
                <w:sz w:val="21"/>
                <w:szCs w:val="21"/>
                <w:lang w:eastAsia="zh-CN"/>
              </w:rPr>
              <w:t>，240mL</w:t>
            </w:r>
            <w:r>
              <w:rPr>
                <w:rFonts w:hint="eastAsia"/>
                <w:color w:val="000000"/>
                <w:sz w:val="21"/>
                <w:szCs w:val="21"/>
                <w:lang w:eastAsia="zh-CN"/>
              </w:rPr>
              <w:t>温水</w:t>
            </w:r>
            <w:r>
              <w:rPr>
                <w:color w:val="000000"/>
                <w:sz w:val="21"/>
                <w:szCs w:val="21"/>
                <w:lang w:eastAsia="zh-CN"/>
              </w:rPr>
              <w:t>送服</w:t>
            </w:r>
            <w:r>
              <w:rPr>
                <w:rFonts w:hint="eastAsia"/>
                <w:color w:val="000000"/>
                <w:sz w:val="21"/>
                <w:szCs w:val="21"/>
                <w:lang w:eastAsia="zh-CN"/>
              </w:rPr>
              <w:t>。</w:t>
            </w:r>
            <w:r>
              <w:rPr>
                <w:rFonts w:hint="eastAsia"/>
                <w:sz w:val="21"/>
                <w:szCs w:val="21"/>
                <w:lang w:eastAsia="zh-CN"/>
              </w:rPr>
              <w:t>高脂餐</w:t>
            </w:r>
            <w:r>
              <w:rPr>
                <w:sz w:val="21"/>
                <w:szCs w:val="21"/>
                <w:lang w:eastAsia="zh-CN"/>
              </w:rPr>
              <w:t>要在进餐开始后30min内吃完，试验药物要在进餐后且以开始进餐时间计的30</w:t>
            </w:r>
            <w:r>
              <w:rPr>
                <w:rFonts w:hint="eastAsia"/>
                <w:sz w:val="21"/>
                <w:szCs w:val="21"/>
                <w:lang w:eastAsia="zh-CN"/>
              </w:rPr>
              <w:t>±0.5min内</w:t>
            </w:r>
            <w:r>
              <w:rPr>
                <w:sz w:val="21"/>
                <w:szCs w:val="21"/>
                <w:lang w:eastAsia="zh-CN"/>
              </w:rPr>
              <w:t>服用</w:t>
            </w:r>
            <w:r>
              <w:rPr>
                <w:rFonts w:hint="eastAsia"/>
                <w:sz w:val="21"/>
                <w:szCs w:val="21"/>
                <w:lang w:eastAsia="zh-CN"/>
              </w:rPr>
              <w:t>。</w:t>
            </w:r>
            <w:r>
              <w:rPr>
                <w:rFonts w:hint="eastAsia"/>
                <w:color w:val="000000"/>
                <w:sz w:val="21"/>
                <w:szCs w:val="21"/>
                <w:lang w:eastAsia="zh-CN"/>
              </w:rPr>
              <w:t>于给药前0h（给药前60min内）和给药后</w:t>
            </w:r>
            <w:r>
              <w:rPr>
                <w:sz w:val="21"/>
                <w:szCs w:val="21"/>
                <w:lang w:eastAsia="zh-CN"/>
              </w:rPr>
              <w:t>0.5、1.0、1.5、2.0、2.5、3.0、3.5、4.0、4.5、5.0、6.0、</w:t>
            </w:r>
            <w:r>
              <w:rPr>
                <w:rFonts w:hint="eastAsia"/>
                <w:sz w:val="21"/>
                <w:szCs w:val="21"/>
                <w:lang w:eastAsia="zh-CN"/>
              </w:rPr>
              <w:t>9</w:t>
            </w:r>
            <w:r>
              <w:rPr>
                <w:sz w:val="21"/>
                <w:szCs w:val="21"/>
                <w:lang w:eastAsia="zh-CN"/>
              </w:rPr>
              <w:t>.0、12.0、24.0、36.0、48.0h，共1</w:t>
            </w:r>
            <w:r>
              <w:rPr>
                <w:rFonts w:hint="eastAsia"/>
                <w:sz w:val="21"/>
                <w:szCs w:val="21"/>
                <w:lang w:eastAsia="zh-CN"/>
              </w:rPr>
              <w:t>7</w:t>
            </w:r>
            <w:r>
              <w:rPr>
                <w:sz w:val="21"/>
                <w:szCs w:val="21"/>
                <w:lang w:eastAsia="zh-CN"/>
              </w:rPr>
              <w:t>个</w:t>
            </w:r>
            <w:r>
              <w:rPr>
                <w:rFonts w:hint="eastAsia"/>
                <w:sz w:val="21"/>
                <w:szCs w:val="21"/>
                <w:lang w:eastAsia="zh-CN"/>
              </w:rPr>
              <w:t>采血</w:t>
            </w:r>
            <w:r>
              <w:rPr>
                <w:sz w:val="21"/>
                <w:szCs w:val="21"/>
                <w:lang w:eastAsia="zh-CN"/>
              </w:rPr>
              <w:t>点，</w:t>
            </w:r>
            <w:r>
              <w:rPr>
                <w:color w:val="000000"/>
                <w:sz w:val="21"/>
                <w:szCs w:val="21"/>
                <w:lang w:eastAsia="zh-CN"/>
              </w:rPr>
              <w:t>采集静脉血，每次取血约3ml至</w:t>
            </w:r>
            <w:r>
              <w:rPr>
                <w:rFonts w:hint="eastAsia"/>
                <w:color w:val="000000"/>
                <w:sz w:val="21"/>
                <w:szCs w:val="21"/>
                <w:lang w:eastAsia="zh-CN"/>
              </w:rPr>
              <w:t>含有EDTA-K</w:t>
            </w:r>
            <w:r>
              <w:rPr>
                <w:rFonts w:hint="eastAsia"/>
                <w:color w:val="000000"/>
                <w:sz w:val="21"/>
                <w:szCs w:val="21"/>
                <w:vertAlign w:val="subscript"/>
                <w:lang w:eastAsia="zh-CN"/>
              </w:rPr>
              <w:t>2</w:t>
            </w:r>
            <w:r>
              <w:rPr>
                <w:rFonts w:hint="eastAsia"/>
                <w:color w:val="000000"/>
                <w:sz w:val="21"/>
                <w:szCs w:val="21"/>
                <w:lang w:eastAsia="zh-CN"/>
              </w:rPr>
              <w:t>抗凝剂的</w:t>
            </w:r>
            <w:r>
              <w:rPr>
                <w:color w:val="000000"/>
                <w:sz w:val="21"/>
                <w:szCs w:val="21"/>
                <w:lang w:eastAsia="zh-CN"/>
              </w:rPr>
              <w:t>真空采血管中</w:t>
            </w:r>
            <w:r>
              <w:rPr>
                <w:rFonts w:hint="eastAsia"/>
                <w:color w:val="000000"/>
                <w:sz w:val="21"/>
                <w:szCs w:val="21"/>
                <w:lang w:eastAsia="zh-CN"/>
              </w:rPr>
              <w:t>，</w:t>
            </w:r>
            <w:r>
              <w:rPr>
                <w:color w:val="000000"/>
                <w:sz w:val="21"/>
                <w:szCs w:val="21"/>
                <w:lang w:eastAsia="zh-CN"/>
              </w:rPr>
              <w:t>所有离心后血浆样品将被分成两份</w:t>
            </w:r>
            <w:r>
              <w:rPr>
                <w:rFonts w:hint="eastAsia"/>
                <w:color w:val="000000"/>
                <w:sz w:val="21"/>
                <w:szCs w:val="21"/>
                <w:lang w:eastAsia="zh-CN"/>
              </w:rPr>
              <w:t>，暂存于-20℃</w:t>
            </w:r>
            <w:r>
              <w:rPr>
                <w:rFonts w:hint="eastAsia"/>
                <w:color w:val="000000"/>
                <w:sz w:val="21"/>
                <w:szCs w:val="21"/>
                <w:lang w:val="en-US" w:eastAsia="zh-CN"/>
              </w:rPr>
              <w:t>或以下</w:t>
            </w:r>
            <w:r>
              <w:rPr>
                <w:rFonts w:hint="eastAsia"/>
                <w:color w:val="000000"/>
                <w:sz w:val="21"/>
                <w:szCs w:val="21"/>
                <w:lang w:eastAsia="zh-CN"/>
              </w:rPr>
              <w:t>冰箱，</w:t>
            </w:r>
            <w:r>
              <w:rPr>
                <w:rFonts w:hint="eastAsia"/>
                <w:color w:val="000000"/>
                <w:sz w:val="21"/>
                <w:szCs w:val="21"/>
                <w:lang w:val="en-US" w:eastAsia="zh-CN"/>
              </w:rPr>
              <w:t>并于</w:t>
            </w:r>
            <w:r>
              <w:rPr>
                <w:rFonts w:hint="eastAsia"/>
                <w:color w:val="000000"/>
                <w:sz w:val="21"/>
                <w:szCs w:val="21"/>
                <w:lang w:eastAsia="zh-CN"/>
              </w:rPr>
              <w:t>24内转移至</w:t>
            </w:r>
            <w:r>
              <w:rPr>
                <w:color w:val="000000"/>
                <w:sz w:val="21"/>
                <w:szCs w:val="21"/>
                <w:lang w:eastAsia="zh-CN"/>
              </w:rPr>
              <w:t>-60</w:t>
            </w:r>
            <w:r>
              <w:rPr>
                <w:rFonts w:hint="eastAsia" w:cs="宋体"/>
                <w:color w:val="000000"/>
                <w:sz w:val="21"/>
                <w:szCs w:val="21"/>
                <w:lang w:eastAsia="zh-CN"/>
              </w:rPr>
              <w:t>℃</w:t>
            </w:r>
            <w:r>
              <w:rPr>
                <w:color w:val="000000"/>
                <w:sz w:val="21"/>
                <w:szCs w:val="21"/>
                <w:lang w:eastAsia="zh-CN"/>
              </w:rPr>
              <w:t>~-90</w:t>
            </w:r>
            <w:r>
              <w:rPr>
                <w:rFonts w:hint="eastAsia" w:cs="宋体"/>
                <w:color w:val="000000"/>
                <w:sz w:val="21"/>
                <w:szCs w:val="21"/>
                <w:lang w:eastAsia="zh-CN"/>
              </w:rPr>
              <w:t>℃</w:t>
            </w:r>
            <w:r>
              <w:rPr>
                <w:color w:val="000000"/>
                <w:sz w:val="21"/>
                <w:szCs w:val="21"/>
                <w:lang w:eastAsia="zh-CN"/>
              </w:rPr>
              <w:t>冰箱中，以供药代动力学分析，待采集完所有受试者血样后，将血浆样本转运至</w:t>
            </w:r>
            <w:r>
              <w:rPr>
                <w:rFonts w:hint="eastAsia"/>
                <w:color w:val="000000"/>
                <w:sz w:val="21"/>
                <w:szCs w:val="21"/>
                <w:lang w:val="en-US" w:eastAsia="zh-CN"/>
              </w:rPr>
              <w:t>样本检测单位</w:t>
            </w:r>
            <w:r>
              <w:rPr>
                <w:color w:val="000000"/>
                <w:sz w:val="21"/>
                <w:szCs w:val="21"/>
                <w:lang w:eastAsia="zh-CN"/>
              </w:rPr>
              <w:t>进行血药浓度测定</w:t>
            </w:r>
            <w:r>
              <w:rPr>
                <w:rFonts w:hint="eastAsia"/>
                <w:color w:val="000000"/>
                <w:sz w:val="21"/>
                <w:szCs w:val="21"/>
                <w:lang w:eastAsia="zh-CN"/>
              </w:rPr>
              <w:t>。</w:t>
            </w:r>
          </w:p>
          <w:p>
            <w:pPr>
              <w:ind w:left="0" w:firstLine="420" w:firstLineChars="200"/>
              <w:rPr>
                <w:sz w:val="21"/>
                <w:szCs w:val="21"/>
                <w:lang w:eastAsia="zh-TW"/>
              </w:rPr>
            </w:pPr>
            <w:r>
              <w:rPr>
                <w:sz w:val="21"/>
                <w:szCs w:val="21"/>
                <w:lang w:eastAsia="zh-CN"/>
              </w:rPr>
              <w:t>于服药前0h（服药前1h内）及服药后</w:t>
            </w:r>
            <w:r>
              <w:rPr>
                <w:sz w:val="21"/>
                <w:szCs w:val="21"/>
                <w:lang w:eastAsia="zh-TW"/>
              </w:rPr>
              <w:t>1±0.5h、</w:t>
            </w:r>
            <w:r>
              <w:rPr>
                <w:sz w:val="21"/>
                <w:szCs w:val="21"/>
                <w:lang w:eastAsia="zh-CN"/>
              </w:rPr>
              <w:t>3</w:t>
            </w:r>
            <w:r>
              <w:rPr>
                <w:sz w:val="21"/>
                <w:szCs w:val="21"/>
                <w:lang w:eastAsia="zh-TW"/>
              </w:rPr>
              <w:t>±0.5h、</w:t>
            </w:r>
            <w:r>
              <w:rPr>
                <w:rFonts w:hint="eastAsia"/>
                <w:sz w:val="21"/>
                <w:szCs w:val="21"/>
                <w:lang w:eastAsia="zh-CN"/>
              </w:rPr>
              <w:t>12</w:t>
            </w:r>
            <w:r>
              <w:rPr>
                <w:sz w:val="21"/>
                <w:szCs w:val="21"/>
                <w:lang w:eastAsia="zh-TW"/>
              </w:rPr>
              <w:t>±0.5h</w:t>
            </w:r>
            <w:r>
              <w:rPr>
                <w:sz w:val="21"/>
                <w:szCs w:val="21"/>
                <w:lang w:eastAsia="zh-CN"/>
              </w:rPr>
              <w:t>、</w:t>
            </w:r>
            <w:r>
              <w:rPr>
                <w:sz w:val="21"/>
                <w:szCs w:val="21"/>
                <w:lang w:eastAsia="zh-TW"/>
              </w:rPr>
              <w:t>24±1.0h、</w:t>
            </w:r>
          </w:p>
          <w:p>
            <w:pPr>
              <w:rPr>
                <w:sz w:val="21"/>
                <w:szCs w:val="21"/>
                <w:lang w:eastAsia="zh-CN"/>
              </w:rPr>
            </w:pPr>
            <w:r>
              <w:rPr>
                <w:rFonts w:hint="eastAsia"/>
                <w:sz w:val="21"/>
                <w:szCs w:val="21"/>
                <w:lang w:eastAsia="zh-CN"/>
              </w:rPr>
              <w:t>36</w:t>
            </w:r>
            <w:r>
              <w:rPr>
                <w:sz w:val="21"/>
                <w:szCs w:val="21"/>
                <w:lang w:eastAsia="zh-TW"/>
              </w:rPr>
              <w:t>±1.0h、48±1.0h</w:t>
            </w:r>
            <w:r>
              <w:rPr>
                <w:sz w:val="21"/>
                <w:szCs w:val="21"/>
                <w:lang w:eastAsia="zh-CN"/>
              </w:rPr>
              <w:t>测量受试者坐位生命体征（包括</w:t>
            </w:r>
            <w:r>
              <w:rPr>
                <w:rFonts w:hint="eastAsia"/>
                <w:sz w:val="21"/>
                <w:szCs w:val="21"/>
                <w:lang w:eastAsia="zh-CN"/>
              </w:rPr>
              <w:t>体温</w:t>
            </w:r>
            <w:r>
              <w:rPr>
                <w:sz w:val="21"/>
                <w:szCs w:val="21"/>
                <w:lang w:eastAsia="zh-CN"/>
              </w:rPr>
              <w:t>、脉搏及血压）。受试者</w:t>
            </w:r>
          </w:p>
          <w:p>
            <w:pPr>
              <w:ind w:left="0" w:firstLine="0"/>
              <w:rPr>
                <w:rFonts w:eastAsiaTheme="minorEastAsia"/>
                <w:b/>
                <w:kern w:val="2"/>
                <w:sz w:val="21"/>
                <w:szCs w:val="21"/>
                <w:u w:color="000000"/>
                <w:lang w:val="zh-TW" w:eastAsia="zh-CN"/>
              </w:rPr>
            </w:pPr>
            <w:r>
              <w:rPr>
                <w:sz w:val="21"/>
                <w:szCs w:val="21"/>
                <w:lang w:eastAsia="zh-CN"/>
              </w:rPr>
              <w:t>采集完最后一次的药动学血样的</w:t>
            </w:r>
            <w:r>
              <w:rPr>
                <w:rFonts w:hint="eastAsia"/>
                <w:sz w:val="21"/>
                <w:szCs w:val="21"/>
                <w:lang w:eastAsia="zh-CN"/>
              </w:rPr>
              <w:t>当天</w:t>
            </w:r>
            <w:r>
              <w:rPr>
                <w:sz w:val="21"/>
                <w:szCs w:val="21"/>
                <w:lang w:eastAsia="zh-CN"/>
              </w:rPr>
              <w:t>完成安全性评估后，可从Ⅰ期临床研究中心离开。第二周期操作程序同第一周期。</w:t>
            </w:r>
            <w:r>
              <w:rPr>
                <w:rFonts w:hint="eastAsia"/>
                <w:color w:val="0000FF"/>
                <w:sz w:val="21"/>
                <w:szCs w:val="21"/>
                <w:lang w:val="en-US" w:eastAsia="zh-CN"/>
              </w:rPr>
              <w:t>完成两周期试验或服药后提前退出的受试者于出组当天</w:t>
            </w:r>
            <w:r>
              <w:rPr>
                <w:sz w:val="21"/>
                <w:szCs w:val="21"/>
                <w:lang w:val="zh-CN" w:eastAsia="zh-CN"/>
              </w:rPr>
              <w:t>进行安全性检查</w:t>
            </w:r>
            <w:r>
              <w:rPr>
                <w:sz w:val="21"/>
                <w:szCs w:val="21"/>
                <w:lang w:eastAsia="zh-CN"/>
              </w:rPr>
              <w:t>，包括：体格检查、生命体征检查、12-导联心电图及实验室相关检查</w:t>
            </w:r>
            <w:r>
              <w:rPr>
                <w:rFonts w:hint="default" w:ascii="Times New Roman" w:hAnsi="Times New Roman" w:eastAsia="宋体" w:cs="Times New Roman"/>
                <w:color w:val="0000FF"/>
                <w:sz w:val="21"/>
                <w:szCs w:val="21"/>
                <w:highlight w:val="none"/>
                <w:lang w:eastAsia="zh-CN"/>
              </w:rPr>
              <w:t>。</w:t>
            </w:r>
            <w:r>
              <w:rPr>
                <w:sz w:val="21"/>
                <w:szCs w:val="21"/>
                <w:lang w:eastAsia="zh-CN"/>
              </w:rPr>
              <w:t>如果受试者在研究结束后仍然有未解决的不良事件/反应、具有临床意义的体检异常和/或实验室检查异常，应当安排相应的随访</w:t>
            </w:r>
            <w:r>
              <w:rPr>
                <w:rFonts w:hint="eastAsia"/>
                <w:sz w:val="21"/>
                <w:szCs w:val="21"/>
                <w:lang w:eastAsia="zh-CN"/>
              </w:rPr>
              <w:t>；</w:t>
            </w:r>
            <w:r>
              <w:rPr>
                <w:sz w:val="21"/>
                <w:szCs w:val="21"/>
                <w:lang w:eastAsia="zh-CN"/>
              </w:rPr>
              <w:t>受试者出组后（包括提前出组）后一周内若发生后续的不良事件，</w:t>
            </w:r>
            <w:r>
              <w:rPr>
                <w:rFonts w:hint="eastAsia"/>
                <w:sz w:val="21"/>
                <w:szCs w:val="21"/>
                <w:lang w:eastAsia="zh-CN"/>
              </w:rPr>
              <w:t>应主动告知研究者</w:t>
            </w:r>
            <w:r>
              <w:rPr>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bCs/>
                <w:kern w:val="2"/>
                <w:sz w:val="21"/>
                <w:szCs w:val="21"/>
                <w:u w:color="000000"/>
                <w:lang w:val="zh-TW" w:eastAsia="zh-CN"/>
              </w:rPr>
              <w:t>入选标准</w:t>
            </w:r>
          </w:p>
        </w:tc>
        <w:tc>
          <w:tcPr>
            <w:tcW w:w="7610"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sz w:val="21"/>
                <w:szCs w:val="21"/>
                <w:lang w:eastAsia="zh-CN"/>
              </w:rPr>
              <w:t>满足全部入选标准方可入选：</w:t>
            </w:r>
          </w:p>
          <w:p>
            <w:pPr>
              <w:pStyle w:val="85"/>
              <w:widowControl w:val="0"/>
              <w:numPr>
                <w:ilvl w:val="0"/>
                <w:numId w:val="3"/>
              </w:numPr>
              <w:spacing w:line="348" w:lineRule="auto"/>
              <w:ind w:left="0" w:firstLine="0" w:firstLineChars="0"/>
              <w:contextualSpacing/>
              <w:rPr>
                <w:color w:val="auto"/>
                <w:sz w:val="21"/>
                <w:szCs w:val="21"/>
                <w:lang w:val="zh-TW" w:eastAsia="zh-CN"/>
              </w:rPr>
            </w:pPr>
            <w:r>
              <w:rPr>
                <w:color w:val="auto"/>
                <w:sz w:val="21"/>
                <w:szCs w:val="21"/>
                <w:lang w:val="zh-TW" w:eastAsia="zh-CN"/>
              </w:rPr>
              <w:t>年龄为18~65周岁（包括18周岁和65周岁）的健康</w:t>
            </w:r>
            <w:r>
              <w:rPr>
                <w:rFonts w:hint="eastAsia"/>
                <w:color w:val="auto"/>
                <w:sz w:val="21"/>
                <w:szCs w:val="21"/>
                <w:lang w:eastAsia="zh-CN"/>
              </w:rPr>
              <w:t>人</w:t>
            </w:r>
            <w:r>
              <w:rPr>
                <w:color w:val="auto"/>
                <w:sz w:val="21"/>
                <w:szCs w:val="21"/>
                <w:lang w:val="zh-TW" w:eastAsia="zh-CN"/>
              </w:rPr>
              <w:t>，</w:t>
            </w:r>
            <w:r>
              <w:rPr>
                <w:rFonts w:hint="eastAsia"/>
                <w:color w:val="auto"/>
                <w:sz w:val="21"/>
                <w:szCs w:val="21"/>
                <w:lang w:eastAsia="zh-CN"/>
              </w:rPr>
              <w:t>男女皆可</w:t>
            </w:r>
            <w:r>
              <w:rPr>
                <w:color w:val="auto"/>
                <w:sz w:val="21"/>
                <w:szCs w:val="21"/>
                <w:lang w:val="zh-TW" w:eastAsia="zh-CN"/>
              </w:rPr>
              <w:t>；</w:t>
            </w:r>
          </w:p>
          <w:p>
            <w:pPr>
              <w:pStyle w:val="85"/>
              <w:widowControl w:val="0"/>
              <w:spacing w:line="348" w:lineRule="auto"/>
              <w:ind w:left="0" w:firstLine="0" w:firstLineChars="0"/>
              <w:contextualSpacing/>
              <w:rPr>
                <w:color w:val="auto"/>
                <w:sz w:val="21"/>
                <w:szCs w:val="21"/>
                <w:lang w:val="zh-TW" w:eastAsia="zh-CN"/>
              </w:rPr>
            </w:pPr>
            <w:r>
              <w:rPr>
                <w:color w:val="auto"/>
                <w:sz w:val="21"/>
                <w:szCs w:val="21"/>
                <w:lang w:val="zh-TW" w:eastAsia="zh-CN"/>
              </w:rPr>
              <w:t>（</w:t>
            </w:r>
            <w:r>
              <w:rPr>
                <w:rFonts w:hint="eastAsia"/>
                <w:color w:val="auto"/>
                <w:sz w:val="21"/>
                <w:szCs w:val="21"/>
                <w:lang w:eastAsia="zh-CN"/>
              </w:rPr>
              <w:t>2</w:t>
            </w:r>
            <w:r>
              <w:rPr>
                <w:color w:val="auto"/>
                <w:sz w:val="21"/>
                <w:szCs w:val="21"/>
                <w:lang w:val="zh-TW" w:eastAsia="zh-CN"/>
              </w:rPr>
              <w:t>）男性体重≥50.0 kg，女性体重≥45.0 kg；体重指数（BMI）在1</w:t>
            </w:r>
            <w:r>
              <w:rPr>
                <w:rFonts w:hint="eastAsia"/>
                <w:color w:val="auto"/>
                <w:sz w:val="21"/>
                <w:szCs w:val="21"/>
                <w:lang w:eastAsia="zh-CN"/>
              </w:rPr>
              <w:t>8</w:t>
            </w:r>
            <w:r>
              <w:rPr>
                <w:color w:val="auto"/>
                <w:sz w:val="21"/>
                <w:szCs w:val="21"/>
                <w:lang w:val="zh-TW" w:eastAsia="zh-CN"/>
              </w:rPr>
              <w:t>.</w:t>
            </w:r>
            <w:r>
              <w:rPr>
                <w:rFonts w:hint="eastAsia"/>
                <w:color w:val="auto"/>
                <w:sz w:val="21"/>
                <w:szCs w:val="21"/>
                <w:lang w:eastAsia="zh-CN"/>
              </w:rPr>
              <w:t>5</w:t>
            </w:r>
            <w:r>
              <w:rPr>
                <w:color w:val="auto"/>
                <w:sz w:val="21"/>
                <w:szCs w:val="21"/>
                <w:lang w:val="zh-TW" w:eastAsia="zh-CN"/>
              </w:rPr>
              <w:t>~26.0 kg/m</w:t>
            </w:r>
            <w:r>
              <w:rPr>
                <w:color w:val="auto"/>
                <w:sz w:val="21"/>
                <w:szCs w:val="21"/>
                <w:vertAlign w:val="superscript"/>
                <w:lang w:val="zh-TW" w:eastAsia="zh-CN"/>
              </w:rPr>
              <w:t>2</w:t>
            </w:r>
            <w:r>
              <w:rPr>
                <w:color w:val="auto"/>
                <w:sz w:val="21"/>
                <w:szCs w:val="21"/>
                <w:lang w:val="zh-TW" w:eastAsia="zh-CN"/>
              </w:rPr>
              <w:t>范围内（包括临界值）；</w:t>
            </w:r>
          </w:p>
          <w:p>
            <w:pPr>
              <w:pStyle w:val="85"/>
              <w:widowControl w:val="0"/>
              <w:spacing w:line="348" w:lineRule="auto"/>
              <w:ind w:left="0" w:firstLine="0" w:firstLineChars="0"/>
              <w:contextualSpacing/>
              <w:rPr>
                <w:color w:val="auto"/>
                <w:sz w:val="21"/>
                <w:szCs w:val="21"/>
                <w:lang w:val="zh-TW" w:eastAsia="zh-CN"/>
              </w:rPr>
            </w:pPr>
            <w:r>
              <w:rPr>
                <w:rFonts w:hint="eastAsia"/>
                <w:color w:val="auto"/>
                <w:sz w:val="21"/>
                <w:szCs w:val="21"/>
                <w:lang w:val="zh-TW" w:eastAsia="zh-CN"/>
              </w:rPr>
              <w:t>（</w:t>
            </w:r>
            <w:r>
              <w:rPr>
                <w:rFonts w:hint="eastAsia"/>
                <w:color w:val="auto"/>
                <w:sz w:val="21"/>
                <w:szCs w:val="21"/>
                <w:lang w:eastAsia="zh-CN"/>
              </w:rPr>
              <w:t>3</w:t>
            </w:r>
            <w:r>
              <w:rPr>
                <w:rFonts w:hint="eastAsia"/>
                <w:color w:val="auto"/>
                <w:sz w:val="21"/>
                <w:szCs w:val="21"/>
                <w:lang w:val="zh-TW" w:eastAsia="zh-CN"/>
              </w:rPr>
              <w:t>）</w:t>
            </w:r>
            <w:r>
              <w:rPr>
                <w:color w:val="auto"/>
                <w:sz w:val="21"/>
                <w:szCs w:val="21"/>
                <w:lang w:val="zh-TW" w:eastAsia="zh-CN"/>
              </w:rPr>
              <w:t>在未来</w:t>
            </w:r>
            <w:r>
              <w:rPr>
                <w:rFonts w:hint="eastAsia"/>
                <w:color w:val="auto"/>
                <w:sz w:val="21"/>
                <w:szCs w:val="21"/>
                <w:lang w:eastAsia="zh-CN"/>
              </w:rPr>
              <w:t>3</w:t>
            </w:r>
            <w:r>
              <w:rPr>
                <w:color w:val="auto"/>
                <w:sz w:val="21"/>
                <w:szCs w:val="21"/>
                <w:lang w:val="zh-TW" w:eastAsia="zh-CN"/>
              </w:rPr>
              <w:t>个月内无</w:t>
            </w:r>
            <w:r>
              <w:rPr>
                <w:rFonts w:hint="eastAsia"/>
                <w:color w:val="auto"/>
                <w:sz w:val="21"/>
                <w:szCs w:val="21"/>
                <w:lang w:eastAsia="zh-CN"/>
              </w:rPr>
              <w:t>生育</w:t>
            </w:r>
            <w:r>
              <w:rPr>
                <w:color w:val="auto"/>
                <w:sz w:val="21"/>
                <w:szCs w:val="21"/>
                <w:lang w:val="zh-TW" w:eastAsia="zh-CN"/>
              </w:rPr>
              <w:t>计划且自愿采取有效避孕措施且无捐精、捐卵计划。</w:t>
            </w:r>
          </w:p>
          <w:p>
            <w:pPr>
              <w:pStyle w:val="85"/>
              <w:widowControl w:val="0"/>
              <w:spacing w:line="348" w:lineRule="auto"/>
              <w:ind w:left="0" w:firstLine="0" w:firstLineChars="0"/>
              <w:contextualSpacing/>
              <w:rPr>
                <w:rFonts w:eastAsiaTheme="minorEastAsia"/>
                <w:sz w:val="21"/>
                <w:szCs w:val="21"/>
                <w:lang w:eastAsia="zh-CN"/>
              </w:rPr>
            </w:pPr>
            <w:r>
              <w:rPr>
                <w:rFonts w:hint="eastAsia"/>
                <w:color w:val="auto"/>
                <w:sz w:val="21"/>
                <w:szCs w:val="21"/>
                <w:lang w:val="zh-TW" w:eastAsia="zh-CN"/>
              </w:rPr>
              <w:t>（</w:t>
            </w:r>
            <w:r>
              <w:rPr>
                <w:rFonts w:hint="eastAsia"/>
                <w:color w:val="auto"/>
                <w:sz w:val="21"/>
                <w:szCs w:val="21"/>
                <w:lang w:eastAsia="zh-CN"/>
              </w:rPr>
              <w:t>4</w:t>
            </w:r>
            <w:r>
              <w:rPr>
                <w:rFonts w:hint="eastAsia"/>
                <w:color w:val="auto"/>
                <w:sz w:val="21"/>
                <w:szCs w:val="21"/>
                <w:lang w:val="zh-TW" w:eastAsia="zh-CN"/>
              </w:rPr>
              <w:t>）</w:t>
            </w:r>
            <w:r>
              <w:rPr>
                <w:color w:val="auto"/>
                <w:sz w:val="21"/>
                <w:szCs w:val="21"/>
                <w:lang w:val="zh-TW" w:eastAsia="zh-CN"/>
              </w:rPr>
              <w:t>充分了解试验目的、性质、方法以及可能发生的不良反应，自愿作为受试者，并在任何研究程序开始前签署知情同意书；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排除标准</w:t>
            </w:r>
          </w:p>
        </w:tc>
        <w:tc>
          <w:tcPr>
            <w:tcW w:w="7610" w:type="dxa"/>
          </w:tcPr>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b/>
                <w:sz w:val="21"/>
                <w:szCs w:val="21"/>
                <w:lang w:eastAsia="zh-CN"/>
              </w:rPr>
              <w:t>符合下列条件之一的受试者将不得入选试验：</w:t>
            </w:r>
          </w:p>
          <w:p>
            <w:pPr>
              <w:widowControl w:val="0"/>
              <w:numPr>
                <w:ilvl w:val="0"/>
                <w:numId w:val="4"/>
              </w:numPr>
              <w:adjustRightInd w:val="0"/>
              <w:spacing w:line="348" w:lineRule="auto"/>
              <w:ind w:left="0" w:firstLine="0"/>
              <w:contextualSpacing/>
              <w:rPr>
                <w:sz w:val="21"/>
                <w:szCs w:val="21"/>
                <w:lang w:eastAsia="zh-CN"/>
              </w:rPr>
            </w:pPr>
            <w:r>
              <w:rPr>
                <w:rFonts w:hint="eastAsia"/>
                <w:sz w:val="21"/>
                <w:szCs w:val="21"/>
                <w:lang w:eastAsia="zh-CN"/>
              </w:rPr>
              <w:t>存在任何</w:t>
            </w:r>
            <w:r>
              <w:rPr>
                <w:rFonts w:hint="eastAsia"/>
                <w:sz w:val="21"/>
                <w:szCs w:val="21"/>
                <w:lang w:val="zh-TW" w:eastAsia="zh-CN"/>
              </w:rPr>
              <w:t>血液循环系统、消化系统、泌尿系统、呼吸系统、神经系统、免疫系统、内分泌系统、精神异常或代谢异常等任何慢性或严重疾病史，或能干扰试验结果的任何其他疾病，或3个月内的手术史；</w:t>
            </w:r>
          </w:p>
          <w:p>
            <w:pPr>
              <w:numPr>
                <w:ilvl w:val="0"/>
                <w:numId w:val="4"/>
              </w:numPr>
              <w:ind w:left="0" w:leftChars="0" w:firstLine="0" w:firstLineChars="0"/>
              <w:rPr>
                <w:rFonts w:hint="eastAsia" w:ascii="宋体" w:hAnsi="宋体" w:eastAsia="宋体" w:cs="宋体"/>
                <w:color w:val="FF0000"/>
                <w:sz w:val="21"/>
                <w:szCs w:val="21"/>
              </w:rPr>
            </w:pPr>
            <w:r>
              <w:rPr>
                <w:rFonts w:hint="eastAsia" w:ascii="宋体" w:hAnsi="宋体" w:eastAsia="宋体" w:cs="宋体"/>
                <w:color w:val="FF0000"/>
                <w:sz w:val="21"/>
                <w:szCs w:val="21"/>
              </w:rPr>
              <w:t>既往或现有视神经炎或其他眼科疾病者，如青光眼，白内障，角膜炎，玻</w:t>
            </w:r>
          </w:p>
          <w:p>
            <w:pPr>
              <w:numPr>
                <w:ilvl w:val="0"/>
                <w:numId w:val="0"/>
              </w:numPr>
              <w:ind w:leftChars="0"/>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rPr>
              <w:t>璃体混浊，眼压高</w:t>
            </w:r>
            <w:r>
              <w:rPr>
                <w:rFonts w:hint="eastAsia" w:ascii="宋体" w:hAnsi="宋体" w:eastAsia="宋体" w:cs="宋体"/>
                <w:color w:val="FF0000"/>
                <w:sz w:val="21"/>
                <w:szCs w:val="21"/>
                <w:lang w:val="en-US" w:eastAsia="zh-CN"/>
              </w:rPr>
              <w:t>等；</w:t>
            </w:r>
          </w:p>
          <w:p>
            <w:pPr>
              <w:rPr>
                <w:color w:val="FF0000"/>
                <w:sz w:val="21"/>
                <w:szCs w:val="21"/>
                <w:lang w:eastAsia="zh-CN"/>
              </w:rPr>
            </w:pPr>
            <w:r>
              <w:rPr>
                <w:rFonts w:hint="eastAsia" w:ascii="宋体" w:hAnsi="宋体" w:eastAsia="宋体" w:cs="宋体"/>
                <w:color w:val="FF0000"/>
                <w:sz w:val="22"/>
                <w:szCs w:val="22"/>
                <w:lang w:eastAsia="zh-CN"/>
              </w:rPr>
              <w:t>（</w:t>
            </w:r>
            <w:r>
              <w:rPr>
                <w:rFonts w:hint="eastAsia" w:ascii="宋体" w:hAnsi="宋体" w:eastAsia="宋体" w:cs="宋体"/>
                <w:color w:val="FF0000"/>
                <w:sz w:val="22"/>
                <w:szCs w:val="22"/>
                <w:lang w:val="en-US" w:eastAsia="zh-CN"/>
              </w:rPr>
              <w:t>3</w:t>
            </w:r>
            <w:r>
              <w:rPr>
                <w:rFonts w:hint="eastAsia" w:ascii="宋体" w:hAnsi="宋体" w:eastAsia="宋体" w:cs="宋体"/>
                <w:color w:val="FF0000"/>
                <w:sz w:val="22"/>
                <w:szCs w:val="22"/>
                <w:lang w:eastAsia="zh-CN"/>
              </w:rPr>
              <w:t>）</w:t>
            </w:r>
            <w:r>
              <w:rPr>
                <w:rFonts w:hint="eastAsia" w:ascii="宋体" w:hAnsi="宋体" w:eastAsia="宋体" w:cs="宋体"/>
                <w:color w:val="FF0000"/>
                <w:sz w:val="22"/>
                <w:szCs w:val="22"/>
              </w:rPr>
              <w:t>患有痛风或有痛风病史者；</w:t>
            </w:r>
          </w:p>
          <w:p>
            <w:pPr>
              <w:widowControl w:val="0"/>
              <w:numPr>
                <w:ilvl w:val="0"/>
                <w:numId w:val="0"/>
              </w:numPr>
              <w:adjustRightInd w:val="0"/>
              <w:spacing w:line="348" w:lineRule="auto"/>
              <w:ind w:leftChars="0"/>
              <w:contextualSpacing/>
              <w:rPr>
                <w:sz w:val="21"/>
                <w:szCs w:val="21"/>
                <w:lang w:val="zh-TW" w:eastAsia="zh-CN"/>
              </w:rPr>
            </w:pPr>
            <w:r>
              <w:rPr>
                <w:rFonts w:hint="eastAsia"/>
                <w:sz w:val="21"/>
                <w:szCs w:val="21"/>
                <w:lang w:val="en-US" w:eastAsia="zh-CN"/>
              </w:rPr>
              <w:t>（4）存在研究者判定为有临床意义的食物、药物过敏或其他变态反应性疾病史（哮喘、荨麻疹、湿疹性皮炎等），或已知对试验药物过敏者</w:t>
            </w:r>
            <w:r>
              <w:rPr>
                <w:rFonts w:hint="eastAsia"/>
                <w:sz w:val="21"/>
                <w:szCs w:val="21"/>
                <w:lang w:val="zh-TW" w:eastAsia="zh-CN"/>
              </w:rPr>
              <w:t>；</w:t>
            </w:r>
          </w:p>
          <w:p>
            <w:pPr>
              <w:widowControl w:val="0"/>
              <w:adjustRightInd w:val="0"/>
              <w:spacing w:line="348" w:lineRule="auto"/>
              <w:ind w:left="-6" w:firstLine="6"/>
              <w:contextualSpacing/>
              <w:rPr>
                <w:sz w:val="21"/>
                <w:szCs w:val="21"/>
                <w:lang w:eastAsia="zh-CN"/>
              </w:rPr>
            </w:pPr>
            <w:r>
              <w:rPr>
                <w:rFonts w:hint="eastAsia"/>
                <w:sz w:val="21"/>
                <w:szCs w:val="21"/>
                <w:lang w:eastAsia="zh-CN"/>
              </w:rPr>
              <w:t>（</w:t>
            </w:r>
            <w:r>
              <w:rPr>
                <w:rFonts w:hint="eastAsia"/>
                <w:sz w:val="21"/>
                <w:szCs w:val="21"/>
                <w:lang w:val="en-US" w:eastAsia="zh-CN"/>
              </w:rPr>
              <w:t>5</w:t>
            </w:r>
            <w:r>
              <w:rPr>
                <w:rFonts w:hint="eastAsia"/>
                <w:sz w:val="21"/>
                <w:szCs w:val="21"/>
                <w:lang w:eastAsia="zh-CN"/>
              </w:rPr>
              <w:t>）</w:t>
            </w:r>
            <w:r>
              <w:rPr>
                <w:sz w:val="21"/>
                <w:szCs w:val="21"/>
                <w:lang w:eastAsia="zh-CN"/>
              </w:rPr>
              <w:t>筛选前3个月内参加过或正在参加其它药物临床试验者；</w:t>
            </w:r>
          </w:p>
          <w:p>
            <w:pPr>
              <w:widowControl w:val="0"/>
              <w:adjustRightInd w:val="0"/>
              <w:spacing w:line="348" w:lineRule="auto"/>
              <w:ind w:left="-6" w:firstLine="6"/>
              <w:contextualSpacing/>
              <w:rPr>
                <w:sz w:val="21"/>
                <w:szCs w:val="21"/>
                <w:lang w:eastAsia="zh-CN"/>
              </w:rPr>
            </w:pPr>
            <w:r>
              <w:rPr>
                <w:sz w:val="21"/>
                <w:szCs w:val="21"/>
                <w:lang w:eastAsia="zh-CN"/>
              </w:rPr>
              <w:t>（</w:t>
            </w:r>
            <w:r>
              <w:rPr>
                <w:rFonts w:hint="eastAsia"/>
                <w:sz w:val="21"/>
                <w:szCs w:val="21"/>
                <w:lang w:val="en-US" w:eastAsia="zh-CN"/>
              </w:rPr>
              <w:t>6</w:t>
            </w:r>
            <w:r>
              <w:rPr>
                <w:sz w:val="21"/>
                <w:szCs w:val="21"/>
                <w:lang w:eastAsia="zh-CN"/>
              </w:rPr>
              <w:t>）筛选前3个月内献过血或失血≥400mL或接受输血或使用血制品或打算在试验期间或试验结束后3个月内献血（包括血液成份）者；</w:t>
            </w:r>
          </w:p>
          <w:p>
            <w:pPr>
              <w:widowControl w:val="0"/>
              <w:adjustRightInd w:val="0"/>
              <w:spacing w:line="348" w:lineRule="auto"/>
              <w:contextualSpacing/>
              <w:rPr>
                <w:sz w:val="21"/>
                <w:szCs w:val="21"/>
                <w:lang w:eastAsia="zh-CN"/>
              </w:rPr>
            </w:pPr>
            <w:r>
              <w:rPr>
                <w:sz w:val="21"/>
                <w:szCs w:val="21"/>
                <w:lang w:eastAsia="zh-CN"/>
              </w:rPr>
              <w:t>（</w:t>
            </w:r>
            <w:r>
              <w:rPr>
                <w:rFonts w:hint="eastAsia"/>
                <w:sz w:val="21"/>
                <w:szCs w:val="21"/>
                <w:lang w:val="en-US" w:eastAsia="zh-CN"/>
              </w:rPr>
              <w:t>7</w:t>
            </w:r>
            <w:r>
              <w:rPr>
                <w:sz w:val="21"/>
                <w:szCs w:val="21"/>
                <w:lang w:eastAsia="zh-CN"/>
              </w:rPr>
              <w:t>）筛选前3个月内每天吸烟大于5支或不同意在试验期间避免使用任何烟</w:t>
            </w:r>
          </w:p>
          <w:p>
            <w:pPr>
              <w:widowControl w:val="0"/>
              <w:adjustRightInd w:val="0"/>
              <w:spacing w:line="348" w:lineRule="auto"/>
              <w:ind w:left="0" w:firstLine="0"/>
              <w:contextualSpacing/>
              <w:rPr>
                <w:sz w:val="21"/>
                <w:szCs w:val="21"/>
                <w:lang w:eastAsia="zh-CN"/>
              </w:rPr>
            </w:pPr>
            <w:r>
              <w:rPr>
                <w:sz w:val="21"/>
                <w:szCs w:val="21"/>
                <w:lang w:eastAsia="zh-CN"/>
              </w:rPr>
              <w:t>草类产品者；3个月酒精摄入量平均每天超过2个单位（1单位=360mL啤酒，或150mL红酒，或45mL蒸馏酒）或酒精测试阳性者，或不同意在试验期间避免饮酒者；</w:t>
            </w:r>
          </w:p>
          <w:p>
            <w:pPr>
              <w:widowControl w:val="0"/>
              <w:adjustRightInd w:val="0"/>
              <w:spacing w:line="348" w:lineRule="auto"/>
              <w:ind w:left="0" w:firstLine="0"/>
              <w:contextualSpacing/>
              <w:rPr>
                <w:sz w:val="18"/>
                <w:szCs w:val="18"/>
                <w:lang w:eastAsia="zh-CN"/>
              </w:rPr>
            </w:pPr>
            <w:r>
              <w:rPr>
                <w:sz w:val="21"/>
                <w:szCs w:val="21"/>
                <w:lang w:eastAsia="zh-CN"/>
              </w:rPr>
              <w:t>（</w:t>
            </w:r>
            <w:r>
              <w:rPr>
                <w:rFonts w:hint="eastAsia"/>
                <w:sz w:val="21"/>
                <w:szCs w:val="21"/>
                <w:lang w:val="en-US" w:eastAsia="zh-CN"/>
              </w:rPr>
              <w:t>8</w:t>
            </w:r>
            <w:r>
              <w:rPr>
                <w:sz w:val="21"/>
                <w:szCs w:val="21"/>
                <w:lang w:eastAsia="zh-CN"/>
              </w:rPr>
              <w:t>）</w:t>
            </w:r>
            <w:r>
              <w:rPr>
                <w:rFonts w:cs="宋体"/>
                <w:color w:val="000000"/>
                <w:sz w:val="21"/>
                <w:szCs w:val="21"/>
                <w:lang w:val="zh-TW" w:eastAsia="zh-CN"/>
              </w:rPr>
              <w:t>妊娠期、哺乳期</w:t>
            </w:r>
            <w:r>
              <w:rPr>
                <w:rFonts w:hint="eastAsia" w:cs="宋体"/>
                <w:color w:val="000000"/>
                <w:sz w:val="21"/>
                <w:szCs w:val="21"/>
                <w:lang w:eastAsia="zh-CN"/>
              </w:rPr>
              <w:t>女性，</w:t>
            </w:r>
            <w:r>
              <w:rPr>
                <w:rFonts w:cs="宋体"/>
                <w:color w:val="000000"/>
                <w:sz w:val="21"/>
                <w:szCs w:val="21"/>
                <w:lang w:val="zh-TW" w:eastAsia="zh-CN"/>
              </w:rPr>
              <w:t>或</w:t>
            </w:r>
            <w:r>
              <w:rPr>
                <w:rFonts w:hint="eastAsia" w:cs="宋体"/>
                <w:color w:val="000000"/>
                <w:sz w:val="21"/>
                <w:szCs w:val="21"/>
                <w:lang w:eastAsia="zh-CN"/>
              </w:rPr>
              <w:t>育龄</w:t>
            </w:r>
            <w:r>
              <w:rPr>
                <w:rFonts w:cs="宋体"/>
                <w:color w:val="000000"/>
                <w:sz w:val="21"/>
                <w:szCs w:val="21"/>
                <w:lang w:eastAsia="zh-CN"/>
              </w:rPr>
              <w:t>女性</w:t>
            </w:r>
            <w:r>
              <w:rPr>
                <w:rFonts w:hint="eastAsia" w:cs="宋体"/>
                <w:color w:val="000000"/>
                <w:sz w:val="21"/>
                <w:szCs w:val="21"/>
                <w:lang w:eastAsia="zh-CN"/>
              </w:rPr>
              <w:t>在计划给药前14天内有未保护性行为或</w:t>
            </w:r>
            <w:r>
              <w:rPr>
                <w:rFonts w:cs="宋体"/>
                <w:color w:val="000000"/>
                <w:sz w:val="21"/>
                <w:szCs w:val="21"/>
                <w:lang w:val="zh-TW" w:eastAsia="zh-CN"/>
              </w:rPr>
              <w:t>血妊娠检查结果为阳性者；</w:t>
            </w:r>
          </w:p>
          <w:p>
            <w:pPr>
              <w:widowControl w:val="0"/>
              <w:adjustRightInd w:val="0"/>
              <w:spacing w:line="348" w:lineRule="auto"/>
              <w:ind w:left="-6" w:firstLine="6"/>
              <w:contextualSpacing/>
              <w:rPr>
                <w:rFonts w:cs="宋体"/>
                <w:color w:val="000000"/>
                <w:sz w:val="21"/>
                <w:szCs w:val="21"/>
                <w:lang w:val="zh-TW" w:eastAsia="zh-CN"/>
              </w:rPr>
            </w:pPr>
            <w:r>
              <w:rPr>
                <w:sz w:val="21"/>
                <w:szCs w:val="21"/>
                <w:lang w:eastAsia="zh-CN"/>
              </w:rPr>
              <w:t>（</w:t>
            </w:r>
            <w:r>
              <w:rPr>
                <w:rFonts w:hint="eastAsia"/>
                <w:sz w:val="21"/>
                <w:szCs w:val="21"/>
                <w:lang w:val="en-US" w:eastAsia="zh-CN"/>
              </w:rPr>
              <w:t>9</w:t>
            </w:r>
            <w:r>
              <w:rPr>
                <w:sz w:val="21"/>
                <w:szCs w:val="21"/>
                <w:lang w:eastAsia="zh-CN"/>
              </w:rPr>
              <w:t>）</w:t>
            </w:r>
            <w:r>
              <w:rPr>
                <w:rFonts w:cs="宋体"/>
                <w:color w:val="000000"/>
                <w:sz w:val="21"/>
                <w:szCs w:val="21"/>
                <w:lang w:val="zh-TW" w:eastAsia="zh-CN"/>
              </w:rPr>
              <w:t>筛选前</w:t>
            </w:r>
            <w:r>
              <w:rPr>
                <w:rFonts w:hint="eastAsia" w:cs="宋体"/>
                <w:color w:val="000000"/>
                <w:sz w:val="21"/>
                <w:szCs w:val="21"/>
                <w:lang w:eastAsia="zh-CN"/>
              </w:rPr>
              <w:t>1年</w:t>
            </w:r>
            <w:r>
              <w:rPr>
                <w:rFonts w:cs="宋体"/>
                <w:color w:val="000000"/>
                <w:sz w:val="21"/>
                <w:szCs w:val="21"/>
                <w:lang w:val="zh-TW" w:eastAsia="zh-CN"/>
              </w:rPr>
              <w:t>内有药物滥用史或使用过毒品者，</w:t>
            </w:r>
            <w:r>
              <w:rPr>
                <w:rFonts w:hint="eastAsia" w:ascii="Arial" w:hAnsi="Arial" w:cs="Arial"/>
                <w:sz w:val="21"/>
                <w:szCs w:val="18"/>
                <w:lang w:eastAsia="zh-CN"/>
              </w:rPr>
              <w:t>包括非医疗目的反复、大量地使用各类麻醉药品和精神药物，</w:t>
            </w:r>
            <w:r>
              <w:rPr>
                <w:rFonts w:cs="宋体"/>
                <w:color w:val="000000"/>
                <w:sz w:val="21"/>
                <w:szCs w:val="21"/>
                <w:lang w:val="zh-TW" w:eastAsia="zh-CN"/>
              </w:rPr>
              <w:t>或尿液成瘾药物（亚甲基二氧甲基苯丙胺（摇头丸）、甲基安非他明（冰毒）、氯胺酮、吗啡、四氢大麻酚酸（大麻））筛查试验阳性者；</w:t>
            </w:r>
          </w:p>
          <w:p>
            <w:pPr>
              <w:keepNext w:val="0"/>
              <w:keepLines w:val="0"/>
              <w:pageBreakBefore w:val="0"/>
              <w:widowControl w:val="0"/>
              <w:kinsoku/>
              <w:wordWrap/>
              <w:overflowPunct/>
              <w:topLinePunct w:val="0"/>
              <w:bidi w:val="0"/>
              <w:adjustRightInd w:val="0"/>
              <w:snapToGrid/>
              <w:spacing w:line="348" w:lineRule="auto"/>
              <w:ind w:left="-6" w:firstLine="6"/>
              <w:contextualSpacing/>
              <w:textAlignment w:val="auto"/>
              <w:rPr>
                <w:sz w:val="21"/>
                <w:szCs w:val="21"/>
                <w:lang w:eastAsia="zh-CN"/>
              </w:rPr>
            </w:pPr>
            <w:r>
              <w:rPr>
                <w:sz w:val="21"/>
                <w:szCs w:val="21"/>
                <w:lang w:eastAsia="zh-CN"/>
              </w:rPr>
              <w:t>（</w:t>
            </w:r>
            <w:r>
              <w:rPr>
                <w:rFonts w:hint="eastAsia"/>
                <w:sz w:val="21"/>
                <w:szCs w:val="21"/>
                <w:lang w:val="en-US" w:eastAsia="zh-CN"/>
              </w:rPr>
              <w:t>10</w:t>
            </w:r>
            <w:r>
              <w:rPr>
                <w:sz w:val="21"/>
                <w:szCs w:val="21"/>
                <w:lang w:eastAsia="zh-CN"/>
              </w:rPr>
              <w:t>）</w:t>
            </w:r>
            <w:r>
              <w:rPr>
                <w:rFonts w:hint="eastAsia" w:cs="宋体"/>
                <w:color w:val="000000"/>
                <w:sz w:val="21"/>
                <w:szCs w:val="21"/>
                <w:lang w:val="zh-TW" w:eastAsia="zh-CN"/>
              </w:rPr>
              <w:t>筛选前28天内使用过任何抑制或诱导肝脏对药物代谢的药物（如：诱导剂--巴比妥类、卡马西平、苯妥英、糖皮质激素、奥美拉唑；抑制剂--SSRI类抗抑郁药、西咪替丁、地尔硫卓、大环内酯类、硝基咪唑类、镇静催眠药、维拉帕米、氟喹诺酮类、抗组胺类）者</w:t>
            </w:r>
            <w:r>
              <w:rPr>
                <w:sz w:val="21"/>
                <w:szCs w:val="21"/>
                <w:lang w:eastAsia="zh-CN"/>
              </w:rPr>
              <w:t>；</w:t>
            </w:r>
          </w:p>
          <w:p>
            <w:pPr>
              <w:widowControl w:val="0"/>
              <w:adjustRightInd w:val="0"/>
              <w:spacing w:line="348" w:lineRule="auto"/>
              <w:ind w:left="-6" w:firstLine="6"/>
              <w:contextualSpacing/>
              <w:rPr>
                <w:sz w:val="21"/>
                <w:szCs w:val="21"/>
                <w:lang w:eastAsia="zh-CN"/>
              </w:rPr>
            </w:pPr>
            <w:r>
              <w:rPr>
                <w:sz w:val="21"/>
                <w:szCs w:val="21"/>
                <w:lang w:eastAsia="zh-CN"/>
              </w:rPr>
              <w:t>（</w:t>
            </w:r>
            <w:r>
              <w:rPr>
                <w:rFonts w:hint="eastAsia"/>
                <w:sz w:val="21"/>
                <w:szCs w:val="21"/>
                <w:lang w:val="en-US" w:eastAsia="zh-CN"/>
              </w:rPr>
              <w:t>11</w:t>
            </w:r>
            <w:r>
              <w:rPr>
                <w:sz w:val="21"/>
                <w:szCs w:val="21"/>
                <w:lang w:eastAsia="zh-CN"/>
              </w:rPr>
              <w:t>）</w:t>
            </w:r>
            <w:r>
              <w:rPr>
                <w:rFonts w:hint="eastAsia"/>
                <w:sz w:val="21"/>
                <w:szCs w:val="21"/>
                <w:lang w:eastAsia="zh-CN"/>
              </w:rPr>
              <w:t>给药</w:t>
            </w:r>
            <w:r>
              <w:rPr>
                <w:sz w:val="21"/>
                <w:szCs w:val="21"/>
                <w:lang w:eastAsia="zh-CN"/>
              </w:rPr>
              <w:t>前14天内服用过任何研究者认为可能会影响研究药物药代动力学特征评价的药物（包括中药</w:t>
            </w:r>
            <w:r>
              <w:rPr>
                <w:rFonts w:hint="eastAsia"/>
                <w:sz w:val="21"/>
                <w:szCs w:val="21"/>
                <w:lang w:eastAsia="zh-CN"/>
              </w:rPr>
              <w:t>、功能性维生素</w:t>
            </w:r>
            <w:r>
              <w:rPr>
                <w:rFonts w:hint="eastAsia"/>
                <w:sz w:val="20"/>
                <w:szCs w:val="20"/>
                <w:lang w:eastAsia="zh-CN"/>
              </w:rPr>
              <w:t>、</w:t>
            </w:r>
            <w:r>
              <w:rPr>
                <w:rFonts w:hint="eastAsia"/>
                <w:sz w:val="21"/>
                <w:szCs w:val="21"/>
                <w:lang w:eastAsia="zh-CN"/>
              </w:rPr>
              <w:t>保健品等</w:t>
            </w:r>
            <w:r>
              <w:rPr>
                <w:sz w:val="21"/>
                <w:szCs w:val="21"/>
                <w:lang w:eastAsia="zh-CN"/>
              </w:rPr>
              <w:t>）者；</w:t>
            </w:r>
          </w:p>
          <w:p>
            <w:pPr>
              <w:widowControl w:val="0"/>
              <w:adjustRightInd w:val="0"/>
              <w:spacing w:line="348" w:lineRule="auto"/>
              <w:ind w:left="-6" w:firstLine="6"/>
              <w:contextualSpacing/>
              <w:rPr>
                <w:sz w:val="21"/>
                <w:szCs w:val="21"/>
                <w:lang w:eastAsia="zh-CN"/>
              </w:rPr>
            </w:pPr>
            <w:r>
              <w:rPr>
                <w:sz w:val="21"/>
                <w:szCs w:val="21"/>
                <w:lang w:eastAsia="zh-CN"/>
              </w:rPr>
              <w:t>（1</w:t>
            </w:r>
            <w:r>
              <w:rPr>
                <w:rFonts w:hint="eastAsia"/>
                <w:sz w:val="21"/>
                <w:szCs w:val="21"/>
                <w:lang w:val="en-US" w:eastAsia="zh-CN"/>
              </w:rPr>
              <w:t>2</w:t>
            </w:r>
            <w:r>
              <w:rPr>
                <w:sz w:val="21"/>
                <w:szCs w:val="21"/>
                <w:lang w:eastAsia="zh-CN"/>
              </w:rPr>
              <w:t>）体格检查、生命体征检查、12-导联心电图及实验室检查异常者（经临床医师判断异常有临床意义）；</w:t>
            </w:r>
          </w:p>
          <w:p>
            <w:pPr>
              <w:widowControl w:val="0"/>
              <w:adjustRightInd w:val="0"/>
              <w:spacing w:line="348" w:lineRule="auto"/>
              <w:ind w:left="-6" w:firstLine="6"/>
              <w:contextualSpacing/>
              <w:rPr>
                <w:sz w:val="21"/>
                <w:szCs w:val="21"/>
              </w:rPr>
            </w:pPr>
            <w:r>
              <w:rPr>
                <w:sz w:val="21"/>
                <w:szCs w:val="21"/>
                <w:lang w:eastAsia="zh-CN"/>
              </w:rPr>
              <w:t>（1</w:t>
            </w:r>
            <w:r>
              <w:rPr>
                <w:rFonts w:hint="eastAsia"/>
                <w:sz w:val="21"/>
                <w:szCs w:val="21"/>
                <w:lang w:val="en-US" w:eastAsia="zh-CN"/>
              </w:rPr>
              <w:t>3</w:t>
            </w:r>
            <w:r>
              <w:rPr>
                <w:sz w:val="21"/>
                <w:szCs w:val="21"/>
                <w:lang w:eastAsia="zh-CN"/>
              </w:rPr>
              <w:t>）人类免疫缺陷病毒（HIV）抗体、乙型肝炎病毒表面抗原（HBsAg）或丙型肝炎病毒（HCV）抗体、梅毒螺旋体抗体（Ant</w:t>
            </w:r>
            <w:r>
              <w:rPr>
                <w:rFonts w:hint="eastAsia"/>
                <w:sz w:val="21"/>
                <w:szCs w:val="21"/>
                <w:lang w:eastAsia="zh-CN"/>
              </w:rPr>
              <w:t>i</w:t>
            </w:r>
            <w:r>
              <w:rPr>
                <w:sz w:val="21"/>
                <w:szCs w:val="21"/>
                <w:lang w:eastAsia="zh-CN"/>
              </w:rPr>
              <w:t>-TP）检查结果为阳性者；</w:t>
            </w:r>
          </w:p>
          <w:p>
            <w:pPr>
              <w:widowControl w:val="0"/>
              <w:adjustRightInd w:val="0"/>
              <w:spacing w:line="348" w:lineRule="auto"/>
              <w:ind w:left="-6" w:firstLine="6"/>
              <w:contextualSpacing/>
              <w:rPr>
                <w:sz w:val="21"/>
                <w:szCs w:val="21"/>
                <w:lang w:val="zh-TW" w:eastAsia="zh-CN"/>
              </w:rPr>
            </w:pPr>
            <w:r>
              <w:rPr>
                <w:sz w:val="21"/>
                <w:szCs w:val="21"/>
                <w:lang w:eastAsia="zh-CN"/>
              </w:rPr>
              <w:t>（1</w:t>
            </w:r>
            <w:r>
              <w:rPr>
                <w:rFonts w:hint="eastAsia"/>
                <w:sz w:val="21"/>
                <w:szCs w:val="21"/>
                <w:lang w:val="en-US" w:eastAsia="zh-CN"/>
              </w:rPr>
              <w:t>4</w:t>
            </w:r>
            <w:r>
              <w:rPr>
                <w:sz w:val="21"/>
                <w:szCs w:val="21"/>
                <w:lang w:eastAsia="zh-CN"/>
              </w:rPr>
              <w:t>）</w:t>
            </w:r>
            <w:r>
              <w:rPr>
                <w:rFonts w:hint="eastAsia"/>
                <w:sz w:val="21"/>
                <w:szCs w:val="21"/>
                <w:lang w:val="zh-TW" w:eastAsia="zh-CN"/>
              </w:rPr>
              <w:t>筛选前3个月内饮用过量（一天8杯以上，1杯=250mL）浓茶、咖啡或含咖啡因的饮料者；</w:t>
            </w:r>
          </w:p>
          <w:p>
            <w:pPr>
              <w:widowControl w:val="0"/>
              <w:adjustRightInd w:val="0"/>
              <w:spacing w:line="348" w:lineRule="auto"/>
              <w:ind w:left="-6" w:firstLine="6"/>
              <w:contextualSpacing/>
              <w:rPr>
                <w:sz w:val="21"/>
                <w:szCs w:val="21"/>
                <w:lang w:eastAsia="zh-CN"/>
              </w:rPr>
            </w:pPr>
            <w:r>
              <w:rPr>
                <w:sz w:val="21"/>
                <w:szCs w:val="21"/>
                <w:lang w:eastAsia="zh-CN"/>
              </w:rPr>
              <w:t>（1</w:t>
            </w:r>
            <w:r>
              <w:rPr>
                <w:rFonts w:hint="eastAsia"/>
                <w:sz w:val="21"/>
                <w:szCs w:val="21"/>
                <w:lang w:val="en-US" w:eastAsia="zh-CN"/>
              </w:rPr>
              <w:t>5</w:t>
            </w:r>
            <w:r>
              <w:rPr>
                <w:sz w:val="21"/>
                <w:szCs w:val="21"/>
                <w:lang w:eastAsia="zh-CN"/>
              </w:rPr>
              <w:t>）</w:t>
            </w:r>
            <w:r>
              <w:rPr>
                <w:rFonts w:hint="eastAsia"/>
                <w:sz w:val="21"/>
                <w:szCs w:val="21"/>
                <w:lang w:val="zh-TW" w:eastAsia="zh-CN"/>
              </w:rPr>
              <w:t>给药前48 h内，</w:t>
            </w:r>
            <w:r>
              <w:rPr>
                <w:rFonts w:hint="eastAsia"/>
                <w:sz w:val="21"/>
                <w:szCs w:val="21"/>
                <w:lang w:eastAsia="zh-CN"/>
              </w:rPr>
              <w:t>食用</w:t>
            </w:r>
            <w:r>
              <w:rPr>
                <w:rFonts w:hint="eastAsia"/>
                <w:sz w:val="21"/>
                <w:szCs w:val="21"/>
                <w:lang w:val="zh-TW" w:eastAsia="zh-CN"/>
              </w:rPr>
              <w:t>任何含有咖啡因的食物或饮料（如咖啡、</w:t>
            </w:r>
            <w:r>
              <w:rPr>
                <w:rFonts w:hint="eastAsia"/>
                <w:sz w:val="21"/>
                <w:szCs w:val="21"/>
                <w:lang w:eastAsia="zh-CN"/>
              </w:rPr>
              <w:t>浓茶、可乐、</w:t>
            </w:r>
            <w:r>
              <w:rPr>
                <w:rFonts w:hint="eastAsia"/>
                <w:sz w:val="21"/>
                <w:szCs w:val="21"/>
                <w:lang w:val="zh-TW" w:eastAsia="zh-CN"/>
              </w:rPr>
              <w:t>巧克力等）</w:t>
            </w:r>
            <w:r>
              <w:rPr>
                <w:rFonts w:hint="eastAsia"/>
                <w:sz w:val="21"/>
                <w:szCs w:val="21"/>
                <w:lang w:eastAsia="zh-CN"/>
              </w:rPr>
              <w:t>或食用</w:t>
            </w:r>
            <w:r>
              <w:rPr>
                <w:rFonts w:hint="eastAsia"/>
                <w:sz w:val="21"/>
                <w:szCs w:val="21"/>
                <w:lang w:val="zh-TW" w:eastAsia="zh-CN"/>
              </w:rPr>
              <w:t>葡萄柚（西柚）</w:t>
            </w:r>
            <w:r>
              <w:rPr>
                <w:rFonts w:hint="eastAsia"/>
                <w:sz w:val="21"/>
                <w:szCs w:val="21"/>
                <w:lang w:eastAsia="zh-CN"/>
              </w:rPr>
              <w:t>及其制成的饮料，或食用含酒精的食物或饮料者；</w:t>
            </w:r>
          </w:p>
          <w:p>
            <w:pPr>
              <w:widowControl w:val="0"/>
              <w:adjustRightInd w:val="0"/>
              <w:spacing w:line="348" w:lineRule="auto"/>
              <w:ind w:left="-6" w:firstLine="6"/>
              <w:contextualSpacing/>
              <w:rPr>
                <w:sz w:val="21"/>
                <w:szCs w:val="21"/>
                <w:lang w:val="zh-TW" w:eastAsia="zh-CN"/>
              </w:rPr>
            </w:pPr>
            <w:r>
              <w:rPr>
                <w:sz w:val="21"/>
                <w:szCs w:val="21"/>
                <w:lang w:eastAsia="zh-CN"/>
              </w:rPr>
              <w:t>（1</w:t>
            </w:r>
            <w:r>
              <w:rPr>
                <w:rFonts w:hint="eastAsia"/>
                <w:sz w:val="21"/>
                <w:szCs w:val="21"/>
                <w:lang w:val="en-US" w:eastAsia="zh-CN"/>
              </w:rPr>
              <w:t>6</w:t>
            </w:r>
            <w:r>
              <w:rPr>
                <w:sz w:val="21"/>
                <w:szCs w:val="21"/>
                <w:lang w:eastAsia="zh-CN"/>
              </w:rPr>
              <w:t>）</w:t>
            </w:r>
            <w:r>
              <w:rPr>
                <w:sz w:val="21"/>
                <w:szCs w:val="21"/>
                <w:lang w:val="zh-TW" w:eastAsia="zh-CN"/>
              </w:rPr>
              <w:t>静脉采血困难或</w:t>
            </w:r>
            <w:r>
              <w:rPr>
                <w:rFonts w:hint="eastAsia"/>
                <w:sz w:val="21"/>
                <w:szCs w:val="21"/>
                <w:lang w:eastAsia="zh-CN"/>
              </w:rPr>
              <w:t>不耐受静脉</w:t>
            </w:r>
            <w:r>
              <w:rPr>
                <w:rFonts w:hint="eastAsia"/>
                <w:sz w:val="21"/>
                <w:szCs w:val="21"/>
                <w:lang w:val="en-US" w:eastAsia="zh-CN"/>
              </w:rPr>
              <w:t>穿刺</w:t>
            </w:r>
            <w:r>
              <w:rPr>
                <w:rFonts w:hint="eastAsia"/>
                <w:sz w:val="21"/>
                <w:szCs w:val="21"/>
                <w:lang w:eastAsia="zh-CN"/>
              </w:rPr>
              <w:t>，或有</w:t>
            </w:r>
            <w:r>
              <w:rPr>
                <w:sz w:val="21"/>
                <w:szCs w:val="21"/>
                <w:lang w:val="zh-TW" w:eastAsia="zh-CN"/>
              </w:rPr>
              <w:t>晕针晕血</w:t>
            </w:r>
            <w:r>
              <w:rPr>
                <w:rFonts w:hint="eastAsia"/>
                <w:sz w:val="21"/>
                <w:szCs w:val="21"/>
                <w:lang w:eastAsia="zh-CN"/>
              </w:rPr>
              <w:t>史</w:t>
            </w:r>
            <w:r>
              <w:rPr>
                <w:sz w:val="21"/>
                <w:szCs w:val="21"/>
                <w:lang w:val="zh-TW" w:eastAsia="zh-CN"/>
              </w:rPr>
              <w:t>者；</w:t>
            </w:r>
          </w:p>
          <w:p>
            <w:pPr>
              <w:widowControl w:val="0"/>
              <w:adjustRightInd w:val="0"/>
              <w:spacing w:line="348" w:lineRule="auto"/>
              <w:ind w:left="-6" w:firstLine="6"/>
              <w:contextualSpacing/>
              <w:rPr>
                <w:color w:val="FF0000"/>
                <w:sz w:val="21"/>
                <w:szCs w:val="21"/>
                <w:lang w:val="en-US" w:eastAsia="zh-CN"/>
              </w:rPr>
            </w:pPr>
            <w:r>
              <w:rPr>
                <w:rFonts w:hint="eastAsia"/>
                <w:sz w:val="21"/>
                <w:szCs w:val="21"/>
                <w:lang w:val="zh-TW" w:eastAsia="zh-CN"/>
              </w:rPr>
              <w:t>（</w:t>
            </w:r>
            <w:r>
              <w:rPr>
                <w:rFonts w:hint="eastAsia"/>
                <w:sz w:val="21"/>
                <w:szCs w:val="21"/>
                <w:lang w:eastAsia="zh-CN"/>
              </w:rPr>
              <w:t>1</w:t>
            </w:r>
            <w:r>
              <w:rPr>
                <w:rFonts w:hint="eastAsia"/>
                <w:sz w:val="21"/>
                <w:szCs w:val="21"/>
                <w:lang w:val="en-US" w:eastAsia="zh-CN"/>
              </w:rPr>
              <w:t>7</w:t>
            </w:r>
            <w:r>
              <w:rPr>
                <w:rFonts w:hint="eastAsia"/>
                <w:sz w:val="21"/>
                <w:szCs w:val="21"/>
                <w:lang w:val="zh-TW" w:eastAsia="zh-CN"/>
              </w:rPr>
              <w:t>）</w:t>
            </w:r>
            <w:r>
              <w:rPr>
                <w:sz w:val="21"/>
                <w:szCs w:val="21"/>
                <w:lang w:val="zh-TW" w:eastAsia="zh-CN"/>
              </w:rPr>
              <w:t>对饮食有特殊要求，不能接受统一饮食</w:t>
            </w:r>
            <w:r>
              <w:rPr>
                <w:rFonts w:hint="eastAsia"/>
                <w:sz w:val="21"/>
                <w:szCs w:val="21"/>
                <w:lang w:val="zh-TW" w:eastAsia="zh-CN"/>
              </w:rPr>
              <w:t>（如</w:t>
            </w:r>
            <w:r>
              <w:rPr>
                <w:rFonts w:hint="eastAsia"/>
                <w:color w:val="FF0000"/>
                <w:sz w:val="21"/>
                <w:szCs w:val="21"/>
                <w:lang w:val="en-US" w:eastAsia="zh-CN"/>
              </w:rPr>
              <w:t>不能耐受牛奶、鸡蛋、黄油、培根等食物者</w:t>
            </w:r>
            <w:r>
              <w:rPr>
                <w:rFonts w:hint="eastAsia"/>
                <w:sz w:val="21"/>
                <w:szCs w:val="21"/>
                <w:lang w:val="zh-TW" w:eastAsia="zh-CN"/>
              </w:rPr>
              <w:t>）</w:t>
            </w:r>
            <w:r>
              <w:rPr>
                <w:sz w:val="21"/>
                <w:szCs w:val="21"/>
                <w:lang w:val="zh-TW" w:eastAsia="zh-CN"/>
              </w:rPr>
              <w:t>；</w:t>
            </w:r>
          </w:p>
          <w:p>
            <w:pPr>
              <w:widowControl w:val="0"/>
              <w:adjustRightInd w:val="0"/>
              <w:spacing w:line="348" w:lineRule="auto"/>
              <w:ind w:left="-6" w:firstLine="6"/>
              <w:contextualSpacing/>
              <w:rPr>
                <w:sz w:val="21"/>
                <w:szCs w:val="21"/>
                <w:lang w:eastAsia="zh-CN"/>
              </w:rPr>
            </w:pPr>
            <w:r>
              <w:rPr>
                <w:sz w:val="21"/>
                <w:szCs w:val="21"/>
                <w:lang w:eastAsia="zh-CN"/>
              </w:rPr>
              <w:t>（</w:t>
            </w:r>
            <w:r>
              <w:rPr>
                <w:rFonts w:hint="eastAsia"/>
                <w:sz w:val="21"/>
                <w:szCs w:val="21"/>
                <w:lang w:eastAsia="zh-CN"/>
              </w:rPr>
              <w:t>1</w:t>
            </w:r>
            <w:r>
              <w:rPr>
                <w:rFonts w:hint="eastAsia"/>
                <w:sz w:val="21"/>
                <w:szCs w:val="21"/>
                <w:lang w:val="en-US" w:eastAsia="zh-CN"/>
              </w:rPr>
              <w:t>8</w:t>
            </w:r>
            <w:r>
              <w:rPr>
                <w:sz w:val="21"/>
                <w:szCs w:val="21"/>
                <w:lang w:eastAsia="zh-CN"/>
              </w:rPr>
              <w:t>）在研究前筛选阶段或研究用药前发生急性疾病者；</w:t>
            </w:r>
          </w:p>
          <w:p>
            <w:pPr>
              <w:widowControl w:val="0"/>
              <w:adjustRightInd w:val="0"/>
              <w:spacing w:line="348" w:lineRule="auto"/>
              <w:ind w:left="-6" w:firstLine="6"/>
              <w:contextualSpacing/>
              <w:rPr>
                <w:sz w:val="21"/>
                <w:szCs w:val="21"/>
                <w:lang w:eastAsia="zh-CN"/>
              </w:rPr>
            </w:pPr>
            <w:r>
              <w:rPr>
                <w:sz w:val="21"/>
                <w:szCs w:val="21"/>
                <w:lang w:eastAsia="zh-CN"/>
              </w:rPr>
              <w:t>（</w:t>
            </w:r>
            <w:r>
              <w:rPr>
                <w:rFonts w:hint="eastAsia"/>
                <w:sz w:val="21"/>
                <w:szCs w:val="21"/>
                <w:lang w:val="en-US" w:eastAsia="zh-CN"/>
              </w:rPr>
              <w:t>19</w:t>
            </w:r>
            <w:r>
              <w:rPr>
                <w:sz w:val="21"/>
                <w:szCs w:val="21"/>
                <w:lang w:eastAsia="zh-CN"/>
              </w:rPr>
              <w:t>）研究者判断不适宜参加本项临床研究的受试者。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脱落标准</w:t>
            </w:r>
          </w:p>
        </w:tc>
        <w:tc>
          <w:tcPr>
            <w:tcW w:w="7610" w:type="dxa"/>
          </w:tcPr>
          <w:p>
            <w:pPr>
              <w:widowControl w:val="0"/>
              <w:autoSpaceDE w:val="0"/>
              <w:autoSpaceDN w:val="0"/>
              <w:adjustRightInd w:val="0"/>
              <w:spacing w:line="348" w:lineRule="auto"/>
              <w:ind w:left="0" w:firstLine="0"/>
              <w:contextualSpacing/>
              <w:rPr>
                <w:rFonts w:eastAsiaTheme="minorEastAsia"/>
                <w:sz w:val="21"/>
                <w:szCs w:val="21"/>
                <w:lang w:val="zh-TW" w:eastAsia="zh-CN"/>
              </w:rPr>
            </w:pPr>
            <w:r>
              <w:rPr>
                <w:rFonts w:eastAsiaTheme="minorEastAsia"/>
                <w:b/>
                <w:sz w:val="21"/>
                <w:szCs w:val="21"/>
                <w:lang w:eastAsia="zh-CN"/>
              </w:rPr>
              <w:t>研究者</w:t>
            </w:r>
            <w:r>
              <w:rPr>
                <w:rFonts w:eastAsiaTheme="minorEastAsia"/>
                <w:b/>
                <w:sz w:val="21"/>
                <w:szCs w:val="21"/>
                <w:lang w:val="zh-TW" w:eastAsia="zh-TW"/>
              </w:rPr>
              <w:t>决定的退出</w:t>
            </w:r>
            <w:r>
              <w:rPr>
                <w:rFonts w:eastAsiaTheme="minorEastAsia"/>
                <w:b/>
                <w:sz w:val="21"/>
                <w:szCs w:val="21"/>
                <w:lang w:val="zh-TW" w:eastAsia="zh-CN"/>
              </w:rPr>
              <w:t>：</w:t>
            </w:r>
            <w:r>
              <w:rPr>
                <w:rFonts w:eastAsiaTheme="minorEastAsia"/>
                <w:sz w:val="21"/>
                <w:szCs w:val="21"/>
                <w:lang w:val="zh-TW" w:eastAsia="zh-TW"/>
              </w:rPr>
              <w:t>受试者退出试验是指已经入选的受试者在试验过程中出现了不宜继续进行试验的情况下，研究者决定该例受试者退出其试验</w:t>
            </w:r>
            <w:r>
              <w:rPr>
                <w:rFonts w:eastAsiaTheme="minorEastAsia"/>
                <w:sz w:val="21"/>
                <w:szCs w:val="21"/>
                <w:lang w:val="zh-TW" w:eastAsia="zh-CN"/>
              </w:rPr>
              <w:t>。</w:t>
            </w:r>
          </w:p>
          <w:p>
            <w:pPr>
              <w:pStyle w:val="50"/>
              <w:numPr>
                <w:ilvl w:val="3"/>
                <w:numId w:val="5"/>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研究者从医学伦理学角度考虑有必要停止试验。</w:t>
            </w:r>
          </w:p>
          <w:p>
            <w:pPr>
              <w:pStyle w:val="50"/>
              <w:numPr>
                <w:ilvl w:val="3"/>
                <w:numId w:val="5"/>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发生严重不良事件（SAE），不宜继续接受试验者。</w:t>
            </w:r>
          </w:p>
          <w:p>
            <w:pPr>
              <w:pStyle w:val="50"/>
              <w:numPr>
                <w:ilvl w:val="3"/>
                <w:numId w:val="5"/>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研究者判断退出研究对受试者最有利；</w:t>
            </w:r>
          </w:p>
          <w:p>
            <w:pPr>
              <w:pStyle w:val="50"/>
              <w:numPr>
                <w:ilvl w:val="3"/>
                <w:numId w:val="5"/>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受试者依从性差，包括以下情况：</w:t>
            </w:r>
          </w:p>
          <w:p>
            <w:pPr>
              <w:pStyle w:val="50"/>
              <w:numPr>
                <w:ilvl w:val="1"/>
                <w:numId w:val="6"/>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受试者不按规定用药及接受检查；</w:t>
            </w:r>
          </w:p>
          <w:p>
            <w:pPr>
              <w:pStyle w:val="50"/>
              <w:numPr>
                <w:ilvl w:val="1"/>
                <w:numId w:val="6"/>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受试者使用其他影响安全性评价及药代动力学试验结果的药物或食物；</w:t>
            </w:r>
          </w:p>
          <w:p>
            <w:pPr>
              <w:pStyle w:val="50"/>
              <w:numPr>
                <w:ilvl w:val="1"/>
                <w:numId w:val="6"/>
              </w:numPr>
              <w:autoSpaceDE w:val="0"/>
              <w:autoSpaceDN w:val="0"/>
              <w:adjustRightInd w:val="0"/>
              <w:spacing w:line="348" w:lineRule="auto"/>
              <w:ind w:left="318" w:leftChars="-22" w:hanging="371" w:hangingChars="177"/>
              <w:contextualSpacing/>
              <w:rPr>
                <w:rFonts w:eastAsiaTheme="minorEastAsia"/>
                <w:bCs/>
                <w:color w:val="auto"/>
                <w:sz w:val="21"/>
              </w:rPr>
            </w:pPr>
            <w:r>
              <w:rPr>
                <w:rFonts w:eastAsiaTheme="minorEastAsia"/>
                <w:bCs/>
                <w:color w:val="auto"/>
                <w:sz w:val="21"/>
              </w:rPr>
              <w:t>受试者有其他影响试验结果行为。</w:t>
            </w:r>
          </w:p>
          <w:p>
            <w:pPr>
              <w:widowControl w:val="0"/>
              <w:autoSpaceDE w:val="0"/>
              <w:autoSpaceDN w:val="0"/>
              <w:adjustRightInd w:val="0"/>
              <w:spacing w:line="348" w:lineRule="auto"/>
              <w:ind w:left="0" w:firstLine="0"/>
              <w:contextualSpacing/>
              <w:rPr>
                <w:rFonts w:eastAsiaTheme="minorEastAsia"/>
                <w:b/>
                <w:sz w:val="21"/>
                <w:szCs w:val="21"/>
                <w:lang w:val="zh-TW" w:eastAsia="zh-CN"/>
              </w:rPr>
            </w:pPr>
            <w:r>
              <w:rPr>
                <w:rFonts w:eastAsiaTheme="minorEastAsia"/>
                <w:b/>
                <w:sz w:val="21"/>
                <w:szCs w:val="21"/>
                <w:lang w:val="zh-TW" w:eastAsia="zh-TW"/>
              </w:rPr>
              <w:t>受试者自行退出研究</w:t>
            </w:r>
            <w:r>
              <w:rPr>
                <w:rFonts w:eastAsiaTheme="minorEastAsia"/>
                <w:b/>
                <w:sz w:val="21"/>
                <w:szCs w:val="21"/>
                <w:lang w:val="zh-TW" w:eastAsia="zh-CN"/>
              </w:rPr>
              <w:t>：</w:t>
            </w:r>
          </w:p>
          <w:p>
            <w:pPr>
              <w:widowControl w:val="0"/>
              <w:autoSpaceDE w:val="0"/>
              <w:autoSpaceDN w:val="0"/>
              <w:adjustRightInd w:val="0"/>
              <w:spacing w:line="348" w:lineRule="auto"/>
              <w:ind w:left="0" w:firstLine="0"/>
              <w:contextualSpacing/>
              <w:rPr>
                <w:rFonts w:eastAsiaTheme="minorEastAsia"/>
                <w:b/>
                <w:sz w:val="21"/>
                <w:szCs w:val="21"/>
                <w:lang w:eastAsia="zh-CN"/>
              </w:rPr>
            </w:pPr>
            <w:r>
              <w:rPr>
                <w:rFonts w:eastAsiaTheme="minorEastAsia"/>
                <w:sz w:val="21"/>
                <w:szCs w:val="21"/>
                <w:lang w:val="zh-TW" w:eastAsia="zh-TW"/>
              </w:rPr>
              <w:t>根据知情同意书的规定，受试者有权中途退出试验，或受试者虽未撤回知情同意，但不再接受用药及检测而失访（也属于退出，或称脱落）。应尽可能了解其退出的原因，并加以记录。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剔除标准</w:t>
            </w:r>
          </w:p>
        </w:tc>
        <w:tc>
          <w:tcPr>
            <w:tcW w:w="7610" w:type="dxa"/>
          </w:tcPr>
          <w:p>
            <w:pPr>
              <w:widowControl w:val="0"/>
              <w:autoSpaceDE w:val="0"/>
              <w:autoSpaceDN w:val="0"/>
              <w:adjustRightInd w:val="0"/>
              <w:spacing w:line="348" w:lineRule="auto"/>
              <w:ind w:left="0" w:firstLine="420" w:firstLineChars="200"/>
              <w:contextualSpacing/>
              <w:jc w:val="left"/>
              <w:rPr>
                <w:iCs/>
                <w:color w:val="auto"/>
                <w:sz w:val="21"/>
                <w:szCs w:val="21"/>
                <w:lang w:eastAsia="zh-CN"/>
              </w:rPr>
            </w:pPr>
            <w:r>
              <w:rPr>
                <w:iCs/>
                <w:sz w:val="21"/>
                <w:szCs w:val="21"/>
                <w:lang w:eastAsia="zh-CN"/>
              </w:rPr>
              <w:t>资料统计分析前，由主要研究者、申办方、统计分析人员判断个例是否剔除。出现下列情况之一，三方人员将依据受试者完成试验的程度和退组原因等因素综合判断是否将此受试者剔除，</w:t>
            </w:r>
            <w:r>
              <w:rPr>
                <w:color w:val="auto"/>
                <w:sz w:val="21"/>
                <w:szCs w:val="21"/>
                <w:u w:color="000000"/>
                <w:lang w:val="zh-TW" w:eastAsia="zh-TW"/>
              </w:rPr>
              <w:t>必要时需要针对离群值进行敏感性分析，即评价剔除和不剔除离群值对生物等效性结果的影响</w:t>
            </w:r>
            <w:r>
              <w:rPr>
                <w:rFonts w:hint="eastAsia"/>
                <w:color w:val="auto"/>
                <w:sz w:val="21"/>
                <w:szCs w:val="21"/>
                <w:u w:color="000000"/>
                <w:lang w:val="zh-TW" w:eastAsia="zh-CN"/>
              </w:rPr>
              <w:t>，</w:t>
            </w:r>
            <w:r>
              <w:rPr>
                <w:iCs/>
                <w:color w:val="auto"/>
                <w:sz w:val="21"/>
                <w:szCs w:val="21"/>
                <w:lang w:eastAsia="zh-CN"/>
              </w:rPr>
              <w:t>并作出相关说明。</w:t>
            </w:r>
          </w:p>
          <w:p>
            <w:pPr>
              <w:widowControl w:val="0"/>
              <w:autoSpaceDE w:val="0"/>
              <w:autoSpaceDN w:val="0"/>
              <w:adjustRightInd w:val="0"/>
              <w:spacing w:line="348" w:lineRule="auto"/>
              <w:ind w:left="0" w:firstLine="420" w:firstLineChars="200"/>
              <w:contextualSpacing/>
              <w:rPr>
                <w:rFonts w:ascii="宋体" w:hAnsi="宋体" w:cs="宋体"/>
                <w:iCs/>
                <w:sz w:val="21"/>
                <w:szCs w:val="21"/>
                <w:lang w:eastAsia="zh-CN"/>
              </w:rPr>
            </w:pPr>
            <w:r>
              <w:rPr>
                <w:rFonts w:hint="eastAsia" w:ascii="宋体" w:hAnsi="宋体" w:cs="宋体"/>
                <w:iCs/>
                <w:sz w:val="21"/>
                <w:szCs w:val="21"/>
                <w:lang w:eastAsia="zh-CN"/>
              </w:rPr>
              <w:t>（1）受试者个例的选择违反了入选/排除标准，不应当进入试验。</w:t>
            </w:r>
          </w:p>
          <w:p>
            <w:pPr>
              <w:widowControl w:val="0"/>
              <w:autoSpaceDE w:val="0"/>
              <w:autoSpaceDN w:val="0"/>
              <w:adjustRightInd w:val="0"/>
              <w:spacing w:line="348" w:lineRule="auto"/>
              <w:ind w:left="0" w:firstLine="420" w:firstLineChars="200"/>
              <w:contextualSpacing/>
              <w:rPr>
                <w:rFonts w:ascii="宋体" w:hAnsi="宋体" w:cs="宋体"/>
                <w:iCs/>
                <w:sz w:val="21"/>
                <w:szCs w:val="21"/>
                <w:lang w:eastAsia="zh-CN"/>
              </w:rPr>
            </w:pPr>
            <w:r>
              <w:rPr>
                <w:rFonts w:hint="eastAsia" w:ascii="宋体" w:hAnsi="宋体" w:cs="宋体"/>
                <w:iCs/>
                <w:sz w:val="21"/>
                <w:szCs w:val="21"/>
                <w:lang w:eastAsia="zh-CN"/>
              </w:rPr>
              <w:t>（2）如果受试者在给药后，在</w:t>
            </w:r>
            <w:r>
              <w:rPr>
                <w:rFonts w:hint="eastAsia" w:ascii="宋体" w:hAnsi="宋体" w:cs="宋体"/>
                <w:iCs/>
                <w:sz w:val="21"/>
                <w:szCs w:val="21"/>
                <w:lang w:val="zh-TW" w:eastAsia="zh-TW"/>
              </w:rPr>
              <w:t>Tmax中位数的两倍时间</w:t>
            </w:r>
            <w:r>
              <w:rPr>
                <w:rFonts w:hint="eastAsia" w:ascii="宋体" w:hAnsi="宋体" w:cs="宋体"/>
                <w:iCs/>
                <w:sz w:val="21"/>
                <w:szCs w:val="21"/>
                <w:lang w:eastAsia="zh-CN"/>
              </w:rPr>
              <w:t>内发生呕吐/腹泻，则该受试者该周期的数据不纳入生物等效性评价。</w:t>
            </w:r>
          </w:p>
          <w:p>
            <w:pPr>
              <w:widowControl w:val="0"/>
              <w:autoSpaceDE w:val="0"/>
              <w:autoSpaceDN w:val="0"/>
              <w:adjustRightInd w:val="0"/>
              <w:spacing w:line="348" w:lineRule="auto"/>
              <w:ind w:left="0" w:firstLine="420" w:firstLineChars="200"/>
              <w:contextualSpacing/>
              <w:rPr>
                <w:rFonts w:ascii="宋体" w:hAnsi="宋体" w:cs="宋体"/>
                <w:iCs/>
                <w:sz w:val="21"/>
                <w:szCs w:val="21"/>
                <w:lang w:eastAsia="zh-CN"/>
              </w:rPr>
            </w:pPr>
            <w:r>
              <w:rPr>
                <w:rFonts w:hint="eastAsia" w:ascii="宋体" w:hAnsi="宋体" w:cs="宋体"/>
                <w:iCs/>
                <w:sz w:val="21"/>
                <w:szCs w:val="21"/>
                <w:lang w:val="zh-TW" w:eastAsia="zh-CN"/>
              </w:rPr>
              <w:t>（</w:t>
            </w:r>
            <w:r>
              <w:rPr>
                <w:rFonts w:hint="eastAsia" w:ascii="宋体" w:hAnsi="宋体" w:cs="宋体"/>
                <w:iCs/>
                <w:sz w:val="21"/>
                <w:szCs w:val="21"/>
                <w:lang w:eastAsia="zh-CN"/>
              </w:rPr>
              <w:t>3</w:t>
            </w:r>
            <w:r>
              <w:rPr>
                <w:rFonts w:hint="eastAsia" w:ascii="宋体" w:hAnsi="宋体" w:cs="宋体"/>
                <w:iCs/>
                <w:sz w:val="21"/>
                <w:szCs w:val="21"/>
                <w:lang w:val="zh-TW" w:eastAsia="zh-CN"/>
              </w:rPr>
              <w:t>）</w:t>
            </w:r>
            <w:r>
              <w:rPr>
                <w:rFonts w:hint="eastAsia" w:ascii="宋体" w:hAnsi="宋体" w:cs="宋体"/>
                <w:iCs/>
                <w:sz w:val="21"/>
                <w:szCs w:val="21"/>
                <w:lang w:val="zh-TW" w:eastAsia="zh-TW"/>
              </w:rPr>
              <w:t>给药前血药浓度大于相应给药后Cmax的5%，</w:t>
            </w:r>
            <w:r>
              <w:rPr>
                <w:rFonts w:hint="eastAsia" w:ascii="宋体" w:hAnsi="宋体" w:cs="宋体"/>
                <w:iCs/>
                <w:sz w:val="21"/>
                <w:szCs w:val="21"/>
                <w:lang w:val="zh-TW" w:eastAsia="zh-CN"/>
              </w:rPr>
              <w:t>则该受试者该周期</w:t>
            </w:r>
            <w:r>
              <w:rPr>
                <w:rFonts w:hint="eastAsia" w:ascii="宋体" w:hAnsi="宋体" w:cs="宋体"/>
                <w:iCs/>
                <w:sz w:val="21"/>
                <w:szCs w:val="21"/>
                <w:lang w:val="zh-TW" w:eastAsia="zh-TW"/>
              </w:rPr>
              <w:t>药代数</w:t>
            </w:r>
          </w:p>
          <w:p>
            <w:pPr>
              <w:widowControl w:val="0"/>
              <w:autoSpaceDE w:val="0"/>
              <w:autoSpaceDN w:val="0"/>
              <w:adjustRightInd w:val="0"/>
              <w:spacing w:line="348" w:lineRule="auto"/>
              <w:ind w:left="0" w:firstLine="420" w:firstLineChars="200"/>
              <w:contextualSpacing/>
              <w:rPr>
                <w:rFonts w:ascii="宋体" w:hAnsi="宋体" w:cs="宋体"/>
                <w:iCs/>
                <w:sz w:val="21"/>
                <w:szCs w:val="21"/>
                <w:lang w:eastAsia="zh-CN"/>
              </w:rPr>
            </w:pPr>
            <w:r>
              <w:rPr>
                <w:rFonts w:hint="eastAsia" w:ascii="宋体" w:hAnsi="宋体" w:cs="宋体"/>
                <w:iCs/>
                <w:sz w:val="21"/>
                <w:szCs w:val="21"/>
                <w:lang w:val="zh-TW" w:eastAsia="zh-TW"/>
              </w:rPr>
              <w:t>据不纳入等效性评价</w:t>
            </w:r>
            <w:r>
              <w:rPr>
                <w:rFonts w:hint="eastAsia" w:ascii="宋体" w:hAnsi="宋体" w:cs="宋体"/>
                <w:iCs/>
                <w:sz w:val="21"/>
                <w:szCs w:val="21"/>
                <w:lang w:val="zh-TW" w:eastAsia="zh-CN"/>
              </w:rPr>
              <w:t>；</w:t>
            </w:r>
          </w:p>
          <w:p>
            <w:pPr>
              <w:widowControl w:val="0"/>
              <w:autoSpaceDE w:val="0"/>
              <w:autoSpaceDN w:val="0"/>
              <w:adjustRightInd w:val="0"/>
              <w:spacing w:line="348" w:lineRule="auto"/>
              <w:ind w:left="0" w:firstLine="420" w:firstLineChars="200"/>
              <w:contextualSpacing/>
              <w:rPr>
                <w:rFonts w:ascii="宋体" w:hAnsi="宋体" w:cs="宋体"/>
                <w:iCs/>
                <w:sz w:val="21"/>
                <w:szCs w:val="21"/>
                <w:lang w:eastAsia="zh-CN"/>
              </w:rPr>
            </w:pPr>
            <w:r>
              <w:rPr>
                <w:rFonts w:hint="eastAsia" w:ascii="宋体" w:hAnsi="宋体" w:cs="宋体"/>
                <w:iCs/>
                <w:sz w:val="21"/>
                <w:szCs w:val="21"/>
                <w:lang w:eastAsia="zh-CN"/>
              </w:rPr>
              <w:t>（4）试验期间，受试者不遵守试验计划，依从性差，如：未曾使用试验用药或无法按照试验方案要求采集到药代动力学和安全性评价的样本且影响结果评价，则该受试者该周期的数据不纳入生物等效性评价；</w:t>
            </w:r>
          </w:p>
          <w:p>
            <w:pPr>
              <w:widowControl w:val="0"/>
              <w:autoSpaceDE w:val="0"/>
              <w:autoSpaceDN w:val="0"/>
              <w:adjustRightInd w:val="0"/>
              <w:spacing w:line="348" w:lineRule="auto"/>
              <w:ind w:left="0" w:firstLine="420" w:firstLineChars="200"/>
              <w:contextualSpacing/>
              <w:jc w:val="left"/>
              <w:rPr>
                <w:rFonts w:hint="eastAsia" w:ascii="宋体" w:hAnsi="宋体" w:cs="宋体"/>
                <w:iCs/>
                <w:sz w:val="21"/>
                <w:szCs w:val="21"/>
                <w:lang w:val="zh-TW" w:eastAsia="zh-CN"/>
              </w:rPr>
            </w:pPr>
            <w:r>
              <w:rPr>
                <w:rFonts w:hint="eastAsia" w:ascii="宋体" w:hAnsi="宋体" w:cs="宋体"/>
                <w:iCs/>
                <w:sz w:val="21"/>
                <w:szCs w:val="21"/>
                <w:lang w:eastAsia="zh-CN"/>
              </w:rPr>
              <w:t>（</w:t>
            </w:r>
            <w:r>
              <w:rPr>
                <w:rFonts w:hint="eastAsia" w:ascii="宋体" w:hAnsi="宋体" w:cs="宋体"/>
                <w:iCs/>
                <w:sz w:val="21"/>
                <w:szCs w:val="21"/>
                <w:lang w:val="en-US" w:eastAsia="zh-CN"/>
              </w:rPr>
              <w:t>5</w:t>
            </w:r>
            <w:r>
              <w:rPr>
                <w:rFonts w:hint="eastAsia" w:ascii="宋体" w:hAnsi="宋体" w:cs="宋体"/>
                <w:iCs/>
                <w:sz w:val="21"/>
                <w:szCs w:val="21"/>
                <w:lang w:eastAsia="zh-CN"/>
              </w:rPr>
              <w:t>）有特殊原因</w:t>
            </w:r>
            <w:r>
              <w:rPr>
                <w:rFonts w:hint="eastAsia" w:ascii="宋体" w:hAnsi="宋体" w:cs="宋体"/>
                <w:iCs/>
                <w:sz w:val="21"/>
                <w:szCs w:val="21"/>
                <w:lang w:val="zh-TW" w:eastAsia="zh-TW"/>
              </w:rPr>
              <w:t>，如违反方案给药、采血时间错误、样本处理、贮存不当、服用对试验药物药代动力学有影响的药物等造成试验数据偏差极大者</w:t>
            </w:r>
            <w:r>
              <w:rPr>
                <w:rFonts w:hint="eastAsia" w:ascii="宋体" w:hAnsi="宋体" w:cs="宋体" w:eastAsiaTheme="minorEastAsia"/>
                <w:iCs/>
                <w:sz w:val="21"/>
                <w:szCs w:val="21"/>
                <w:lang w:val="zh-TW" w:eastAsia="zh-CN"/>
              </w:rPr>
              <w:t>，</w:t>
            </w:r>
            <w:r>
              <w:rPr>
                <w:rFonts w:ascii="宋体" w:hAnsi="宋体" w:cs="宋体" w:eastAsiaTheme="minorEastAsia"/>
                <w:iCs/>
                <w:sz w:val="21"/>
                <w:szCs w:val="21"/>
                <w:lang w:val="zh-TW" w:eastAsia="zh-CN"/>
              </w:rPr>
              <w:t>根据具体情况判断</w:t>
            </w:r>
            <w:r>
              <w:rPr>
                <w:rFonts w:hint="eastAsia" w:ascii="宋体" w:hAnsi="宋体" w:cs="宋体" w:eastAsiaTheme="minorEastAsia"/>
                <w:iCs/>
                <w:sz w:val="21"/>
                <w:szCs w:val="21"/>
                <w:lang w:val="zh-TW" w:eastAsia="zh-CN"/>
              </w:rPr>
              <w:t>数据</w:t>
            </w:r>
            <w:r>
              <w:rPr>
                <w:rFonts w:ascii="宋体" w:hAnsi="宋体" w:cs="宋体" w:eastAsiaTheme="minorEastAsia"/>
                <w:iCs/>
                <w:sz w:val="21"/>
                <w:szCs w:val="21"/>
                <w:lang w:val="zh-TW" w:eastAsia="zh-CN"/>
              </w:rPr>
              <w:t>剔除情况</w:t>
            </w:r>
            <w:r>
              <w:rPr>
                <w:rFonts w:hint="eastAsia" w:ascii="宋体" w:hAnsi="宋体" w:cs="宋体"/>
                <w:iCs/>
                <w:sz w:val="21"/>
                <w:szCs w:val="21"/>
                <w:lang w:val="zh-TW" w:eastAsia="zh-CN"/>
              </w:rPr>
              <w:t>；</w:t>
            </w:r>
          </w:p>
          <w:p>
            <w:pPr>
              <w:widowControl w:val="0"/>
              <w:autoSpaceDE w:val="0"/>
              <w:autoSpaceDN w:val="0"/>
              <w:adjustRightInd w:val="0"/>
              <w:spacing w:line="348" w:lineRule="auto"/>
              <w:ind w:left="0" w:firstLine="420" w:firstLineChars="200"/>
              <w:contextualSpacing/>
              <w:jc w:val="left"/>
              <w:rPr>
                <w:rFonts w:hint="eastAsia" w:ascii="宋体" w:hAnsi="宋体" w:cs="宋体"/>
                <w:iCs/>
                <w:sz w:val="21"/>
                <w:szCs w:val="21"/>
                <w:lang w:val="zh-TW" w:eastAsia="zh-TW"/>
              </w:rPr>
            </w:pPr>
            <w:r>
              <w:rPr>
                <w:rFonts w:hint="eastAsia" w:ascii="宋体" w:hAnsi="宋体" w:cs="宋体"/>
                <w:b w:val="0"/>
                <w:bCs w:val="0"/>
                <w:i w:val="0"/>
                <w:iCs/>
                <w:sz w:val="21"/>
                <w:szCs w:val="21"/>
                <w:lang w:val="zh-TW" w:eastAsia="zh-CN"/>
              </w:rPr>
              <w:t>（</w:t>
            </w:r>
            <w:r>
              <w:rPr>
                <w:rFonts w:hint="eastAsia" w:ascii="宋体" w:hAnsi="宋体" w:cs="宋体"/>
                <w:b w:val="0"/>
                <w:bCs w:val="0"/>
                <w:i w:val="0"/>
                <w:iCs/>
                <w:sz w:val="21"/>
                <w:szCs w:val="21"/>
                <w:lang w:val="en-US" w:eastAsia="zh-CN"/>
              </w:rPr>
              <w:t>6</w:t>
            </w:r>
            <w:r>
              <w:rPr>
                <w:rFonts w:hint="eastAsia" w:ascii="宋体" w:hAnsi="宋体" w:cs="宋体"/>
                <w:b w:val="0"/>
                <w:bCs w:val="0"/>
                <w:i w:val="0"/>
                <w:iCs/>
                <w:sz w:val="21"/>
                <w:szCs w:val="21"/>
                <w:lang w:val="zh-TW" w:eastAsia="zh-CN"/>
              </w:rPr>
              <w:t>）</w:t>
            </w:r>
            <w:r>
              <w:rPr>
                <w:rFonts w:hint="eastAsia" w:ascii="宋体" w:hAnsi="宋体" w:cs="宋体" w:eastAsiaTheme="minorEastAsia"/>
                <w:iCs/>
                <w:sz w:val="21"/>
                <w:szCs w:val="21"/>
                <w:lang w:val="zh-CN" w:eastAsia="zh-TW"/>
              </w:rPr>
              <w:t>研究者认为其他严重违背方案</w:t>
            </w:r>
            <w:r>
              <w:rPr>
                <w:rFonts w:hint="eastAsia" w:ascii="宋体" w:hAnsi="宋体" w:cs="宋体" w:eastAsiaTheme="minorEastAsia"/>
                <w:iCs/>
                <w:sz w:val="21"/>
                <w:szCs w:val="21"/>
                <w:lang w:val="en-US" w:eastAsia="zh-CN"/>
              </w:rPr>
              <w:t>的情况</w:t>
            </w:r>
            <w:r>
              <w:rPr>
                <w:rFonts w:hint="eastAsia" w:ascii="宋体" w:hAnsi="宋体" w:cs="宋体" w:eastAsiaTheme="minorEastAsia"/>
                <w:iCs/>
                <w:sz w:val="21"/>
                <w:szCs w:val="21"/>
                <w:lang w:val="zh-CN"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终止试验标准</w:t>
            </w:r>
          </w:p>
        </w:tc>
        <w:tc>
          <w:tcPr>
            <w:tcW w:w="7610" w:type="dxa"/>
          </w:tcPr>
          <w:p>
            <w:pPr>
              <w:pStyle w:val="108"/>
              <w:widowControl w:val="0"/>
              <w:numPr>
                <w:ilvl w:val="0"/>
                <w:numId w:val="7"/>
              </w:numPr>
              <w:autoSpaceDE w:val="0"/>
              <w:autoSpaceDN w:val="0"/>
              <w:adjustRightInd w:val="0"/>
              <w:spacing w:line="348" w:lineRule="auto"/>
              <w:ind w:firstLineChars="0"/>
              <w:contextualSpacing/>
              <w:rPr>
                <w:rFonts w:ascii="Times New Roman" w:hAnsi="Times New Roman" w:eastAsiaTheme="minorEastAsia"/>
                <w:szCs w:val="21"/>
                <w:lang w:val="zh-TW" w:eastAsia="zh-TW"/>
              </w:rPr>
            </w:pPr>
            <w:r>
              <w:rPr>
                <w:rFonts w:ascii="Times New Roman" w:hAnsi="Times New Roman" w:eastAsiaTheme="minorEastAsia"/>
                <w:szCs w:val="21"/>
                <w:lang w:val="zh-TW" w:eastAsia="zh-TW"/>
              </w:rPr>
              <w:t>在试验实施过程中，出现与试验药物相关的严重不良事件</w:t>
            </w:r>
            <w:r>
              <w:rPr>
                <w:rFonts w:ascii="Times New Roman" w:hAnsi="Times New Roman" w:eastAsiaTheme="minorEastAsia"/>
                <w:szCs w:val="21"/>
                <w:lang w:val="zh-TW"/>
              </w:rPr>
              <w:t>。</w:t>
            </w:r>
          </w:p>
          <w:p>
            <w:pPr>
              <w:pStyle w:val="108"/>
              <w:widowControl w:val="0"/>
              <w:numPr>
                <w:ilvl w:val="0"/>
                <w:numId w:val="7"/>
              </w:numPr>
              <w:autoSpaceDE w:val="0"/>
              <w:autoSpaceDN w:val="0"/>
              <w:adjustRightInd w:val="0"/>
              <w:spacing w:line="348" w:lineRule="auto"/>
              <w:ind w:firstLineChars="0"/>
              <w:contextualSpacing/>
              <w:rPr>
                <w:rFonts w:ascii="Times New Roman" w:hAnsi="Times New Roman" w:eastAsiaTheme="minorEastAsia"/>
                <w:szCs w:val="21"/>
                <w:lang w:val="zh-TW" w:eastAsia="zh-TW"/>
              </w:rPr>
            </w:pPr>
            <w:r>
              <w:rPr>
                <w:rFonts w:ascii="Times New Roman" w:hAnsi="Times New Roman" w:eastAsiaTheme="minorEastAsia"/>
                <w:szCs w:val="21"/>
                <w:lang w:val="zh-TW" w:eastAsia="zh-TW"/>
              </w:rPr>
              <w:t>在试验实施过程中发现重大偏差或者人为失误，严重影响试验质量，难以达到试验目的</w:t>
            </w:r>
            <w:r>
              <w:rPr>
                <w:rFonts w:ascii="Times New Roman" w:hAnsi="Times New Roman" w:eastAsiaTheme="minorEastAsia"/>
                <w:szCs w:val="21"/>
                <w:lang w:val="zh-TW"/>
              </w:rPr>
              <w:t>。</w:t>
            </w:r>
          </w:p>
          <w:p>
            <w:pPr>
              <w:pStyle w:val="108"/>
              <w:widowControl w:val="0"/>
              <w:numPr>
                <w:ilvl w:val="0"/>
                <w:numId w:val="7"/>
              </w:numPr>
              <w:autoSpaceDE w:val="0"/>
              <w:autoSpaceDN w:val="0"/>
              <w:adjustRightInd w:val="0"/>
              <w:spacing w:line="348" w:lineRule="auto"/>
              <w:ind w:firstLineChars="0"/>
              <w:contextualSpacing/>
              <w:rPr>
                <w:rFonts w:ascii="Times New Roman" w:hAnsi="Times New Roman" w:eastAsiaTheme="minorEastAsia"/>
                <w:szCs w:val="21"/>
                <w:lang w:val="zh-TW" w:eastAsia="zh-TW"/>
              </w:rPr>
            </w:pPr>
            <w:r>
              <w:rPr>
                <w:rFonts w:ascii="Times New Roman" w:hAnsi="Times New Roman" w:eastAsiaTheme="minorEastAsia"/>
                <w:szCs w:val="21"/>
                <w:lang w:val="zh-TW" w:eastAsia="zh-TW"/>
              </w:rPr>
              <w:t>在充分保障受试者权益和安全前提下申办者要求终止（如经费原因、管理原因等）</w:t>
            </w:r>
            <w:r>
              <w:rPr>
                <w:rFonts w:ascii="Times New Roman" w:hAnsi="Times New Roman" w:eastAsiaTheme="minorEastAsia"/>
                <w:szCs w:val="21"/>
                <w:lang w:val="zh-TW"/>
              </w:rPr>
              <w:t>。</w:t>
            </w:r>
          </w:p>
          <w:p>
            <w:pPr>
              <w:pStyle w:val="108"/>
              <w:widowControl w:val="0"/>
              <w:numPr>
                <w:ilvl w:val="0"/>
                <w:numId w:val="7"/>
              </w:numPr>
              <w:autoSpaceDE w:val="0"/>
              <w:autoSpaceDN w:val="0"/>
              <w:adjustRightInd w:val="0"/>
              <w:spacing w:line="348" w:lineRule="auto"/>
              <w:ind w:firstLineChars="0"/>
              <w:contextualSpacing/>
              <w:rPr>
                <w:rFonts w:ascii="Times New Roman" w:hAnsi="Times New Roman" w:eastAsiaTheme="minorEastAsia"/>
                <w:szCs w:val="21"/>
                <w:lang w:val="zh-TW" w:eastAsia="zh-TW"/>
              </w:rPr>
            </w:pPr>
            <w:r>
              <w:rPr>
                <w:rFonts w:ascii="Times New Roman" w:hAnsi="Times New Roman" w:eastAsiaTheme="minorEastAsia"/>
                <w:szCs w:val="21"/>
                <w:lang w:val="zh-TW" w:eastAsia="zh-TW"/>
              </w:rPr>
              <w:t>国家</w:t>
            </w:r>
            <w:r>
              <w:rPr>
                <w:rFonts w:hint="eastAsia" w:ascii="Times New Roman" w:hAnsi="Times New Roman" w:eastAsiaTheme="minorEastAsia"/>
                <w:szCs w:val="21"/>
                <w:lang w:val="zh-TW"/>
              </w:rPr>
              <w:t>药品</w:t>
            </w:r>
            <w:r>
              <w:rPr>
                <w:rFonts w:ascii="Times New Roman" w:hAnsi="Times New Roman" w:eastAsiaTheme="minorEastAsia"/>
                <w:szCs w:val="21"/>
                <w:lang w:val="zh-TW" w:eastAsia="zh-TW"/>
              </w:rPr>
              <w:t>监督管理</w:t>
            </w:r>
            <w:r>
              <w:rPr>
                <w:rFonts w:hint="eastAsia" w:ascii="Times New Roman" w:hAnsi="Times New Roman" w:eastAsiaTheme="minorEastAsia"/>
                <w:szCs w:val="21"/>
                <w:lang w:val="zh-TW"/>
              </w:rPr>
              <w:t>局</w:t>
            </w:r>
            <w:r>
              <w:rPr>
                <w:rFonts w:ascii="Times New Roman" w:hAnsi="Times New Roman" w:eastAsiaTheme="minorEastAsia"/>
                <w:szCs w:val="21"/>
                <w:lang w:val="zh-TW" w:eastAsia="zh-TW"/>
              </w:rPr>
              <w:t>或伦理委员会因某种原因勒令终止试验</w:t>
            </w:r>
            <w:r>
              <w:rPr>
                <w:rFonts w:ascii="Times New Roman" w:hAnsi="Times New Roman" w:eastAsiaTheme="minorEastAsia"/>
                <w:szCs w:val="21"/>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rFonts w:eastAsiaTheme="minorEastAsia"/>
                <w:b/>
                <w:bCs/>
                <w:kern w:val="2"/>
                <w:sz w:val="21"/>
                <w:szCs w:val="21"/>
                <w:u w:color="000000"/>
                <w:lang w:val="zh-TW" w:eastAsia="zh-CN"/>
              </w:rPr>
            </w:pPr>
            <w:r>
              <w:rPr>
                <w:rFonts w:eastAsiaTheme="minorEastAsia"/>
                <w:b/>
                <w:bCs/>
                <w:kern w:val="2"/>
                <w:sz w:val="21"/>
                <w:szCs w:val="21"/>
                <w:u w:color="000000"/>
                <w:lang w:val="zh-TW" w:eastAsia="zh-CN"/>
              </w:rPr>
              <w:t>生物样品分析</w:t>
            </w:r>
          </w:p>
        </w:tc>
        <w:tc>
          <w:tcPr>
            <w:tcW w:w="7610" w:type="dxa"/>
          </w:tcPr>
          <w:p>
            <w:pPr>
              <w:widowControl w:val="0"/>
              <w:tabs>
                <w:tab w:val="left" w:pos="735"/>
              </w:tabs>
              <w:autoSpaceDE w:val="0"/>
              <w:autoSpaceDN w:val="0"/>
              <w:adjustRightInd w:val="0"/>
              <w:spacing w:line="348" w:lineRule="auto"/>
              <w:ind w:left="0" w:firstLine="0"/>
              <w:contextualSpacing/>
              <w:rPr>
                <w:rFonts w:eastAsiaTheme="minorEastAsia"/>
                <w:sz w:val="21"/>
                <w:szCs w:val="21"/>
                <w:lang w:val="zh-TW" w:eastAsia="zh-CN"/>
              </w:rPr>
            </w:pPr>
            <w:r>
              <w:rPr>
                <w:rFonts w:eastAsiaTheme="minorEastAsia"/>
                <w:sz w:val="21"/>
                <w:szCs w:val="21"/>
                <w:lang w:eastAsia="zh-CN"/>
              </w:rPr>
              <w:t>拟采用</w:t>
            </w:r>
            <w:r>
              <w:rPr>
                <w:rFonts w:eastAsiaTheme="minorEastAsia"/>
                <w:kern w:val="2"/>
                <w:sz w:val="21"/>
                <w:szCs w:val="21"/>
                <w:u w:color="000000"/>
                <w:lang w:eastAsia="zh-CN"/>
              </w:rPr>
              <w:t>HPLC-MS/MS</w:t>
            </w:r>
            <w:r>
              <w:rPr>
                <w:rFonts w:eastAsiaTheme="minorEastAsia"/>
                <w:sz w:val="21"/>
                <w:szCs w:val="21"/>
                <w:lang w:eastAsia="zh-CN"/>
              </w:rPr>
              <w:t>法测定血浆中</w:t>
            </w:r>
            <w:r>
              <w:rPr>
                <w:rFonts w:hint="eastAsia" w:eastAsiaTheme="minorEastAsia"/>
                <w:color w:val="000000"/>
                <w:sz w:val="21"/>
                <w:szCs w:val="21"/>
                <w:lang w:eastAsia="zh-CN"/>
              </w:rPr>
              <w:t>乙胺丁醇</w:t>
            </w:r>
            <w:r>
              <w:rPr>
                <w:rFonts w:eastAsiaTheme="minorEastAsia"/>
                <w:sz w:val="21"/>
                <w:szCs w:val="21"/>
                <w:lang w:eastAsia="zh-CN"/>
              </w:rPr>
              <w:t>的浓度。</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b/>
                <w:bCs/>
                <w:kern w:val="2"/>
                <w:sz w:val="21"/>
                <w:szCs w:val="21"/>
                <w:u w:color="000000"/>
                <w:lang w:val="zh-TW" w:eastAsia="zh-CN"/>
              </w:rPr>
            </w:pPr>
            <w:r>
              <w:rPr>
                <w:rFonts w:hint="eastAsia"/>
                <w:b/>
                <w:bCs/>
                <w:kern w:val="2"/>
                <w:sz w:val="21"/>
                <w:szCs w:val="21"/>
                <w:u w:color="000000"/>
                <w:lang w:val="zh-TW" w:eastAsia="zh-CN"/>
              </w:rPr>
              <w:t>评价指标</w:t>
            </w:r>
          </w:p>
        </w:tc>
        <w:tc>
          <w:tcPr>
            <w:tcW w:w="7610" w:type="dxa"/>
          </w:tcPr>
          <w:p>
            <w:pPr>
              <w:pStyle w:val="3"/>
              <w:autoSpaceDE w:val="0"/>
              <w:autoSpaceDN w:val="0"/>
              <w:adjustRightInd w:val="0"/>
              <w:spacing w:line="348" w:lineRule="auto"/>
              <w:ind w:left="721" w:hanging="721" w:hangingChars="342"/>
              <w:contextualSpacing/>
              <w:rPr>
                <w:rFonts w:ascii="Times New Roman" w:hAnsi="Times New Roman" w:eastAsia="宋体" w:cs="Times New Roman"/>
                <w:color w:val="auto"/>
                <w:lang w:eastAsia="zh-TW"/>
              </w:rPr>
            </w:pPr>
            <w:r>
              <w:rPr>
                <w:rFonts w:ascii="Times New Roman" w:hAnsi="Times New Roman" w:eastAsia="宋体" w:cs="Times New Roman"/>
                <w:b/>
                <w:color w:val="auto"/>
                <w:lang w:val="zh-TW" w:eastAsia="zh-TW"/>
              </w:rPr>
              <w:t>药代动力学参数：</w:t>
            </w:r>
            <w:r>
              <w:rPr>
                <w:rFonts w:ascii="Times New Roman" w:hAnsi="Times New Roman" w:eastAsia="宋体" w:cs="Times New Roman"/>
                <w:color w:val="auto"/>
                <w:lang w:val="zh-TW" w:eastAsia="zh-TW"/>
              </w:rPr>
              <w:t>包括</w:t>
            </w:r>
            <w:r>
              <w:rPr>
                <w:rFonts w:ascii="Times New Roman" w:hAnsi="Times New Roman" w:eastAsia="宋体" w:cs="Times New Roman"/>
                <w:color w:val="auto"/>
                <w:lang w:eastAsia="zh-TW"/>
              </w:rPr>
              <w:t>C</w:t>
            </w:r>
            <w:r>
              <w:rPr>
                <w:rFonts w:ascii="Times New Roman" w:hAnsi="Times New Roman" w:eastAsia="宋体" w:cs="Times New Roman"/>
                <w:color w:val="auto"/>
                <w:vertAlign w:val="subscript"/>
                <w:lang w:eastAsia="zh-TW"/>
              </w:rPr>
              <w:t>max</w:t>
            </w:r>
            <w:r>
              <w:rPr>
                <w:rFonts w:ascii="Times New Roman" w:hAnsi="Times New Roman" w:eastAsia="宋体" w:cs="Times New Roman"/>
                <w:color w:val="auto"/>
                <w:lang w:eastAsia="zh-TW"/>
              </w:rPr>
              <w:t>、AUC</w:t>
            </w:r>
            <w:r>
              <w:rPr>
                <w:rFonts w:ascii="Times New Roman" w:hAnsi="Times New Roman" w:eastAsia="宋体" w:cs="Times New Roman"/>
                <w:color w:val="auto"/>
                <w:vertAlign w:val="subscript"/>
                <w:lang w:eastAsia="zh-TW"/>
              </w:rPr>
              <w:t>0-t</w:t>
            </w:r>
            <w:r>
              <w:rPr>
                <w:rFonts w:ascii="Times New Roman" w:hAnsi="Times New Roman" w:eastAsia="宋体" w:cs="Times New Roman"/>
                <w:color w:val="auto"/>
                <w:lang w:eastAsia="zh-TW"/>
              </w:rPr>
              <w:t>、AUC</w:t>
            </w:r>
            <w:r>
              <w:rPr>
                <w:rFonts w:ascii="Times New Roman" w:hAnsi="Times New Roman" w:eastAsia="宋体" w:cs="Times New Roman"/>
                <w:color w:val="auto"/>
                <w:vertAlign w:val="subscript"/>
                <w:lang w:eastAsia="zh-TW"/>
              </w:rPr>
              <w:t>0-</w:t>
            </w:r>
            <w:r>
              <w:rPr>
                <w:rFonts w:hint="eastAsia" w:ascii="Times New Roman" w:hAnsi="Times New Roman" w:eastAsia="宋体" w:cs="Times New Roman"/>
                <w:color w:val="auto"/>
                <w:vertAlign w:val="subscript"/>
              </w:rPr>
              <w:t>∞</w:t>
            </w:r>
            <w:r>
              <w:rPr>
                <w:rFonts w:ascii="Times New Roman" w:hAnsi="Times New Roman" w:eastAsia="宋体" w:cs="Times New Roman"/>
                <w:color w:val="auto"/>
                <w:lang w:eastAsia="zh-TW"/>
              </w:rPr>
              <w:t>、T</w:t>
            </w:r>
            <w:r>
              <w:rPr>
                <w:rFonts w:ascii="Times New Roman" w:hAnsi="Times New Roman" w:eastAsia="宋体" w:cs="Times New Roman"/>
                <w:color w:val="auto"/>
                <w:vertAlign w:val="subscript"/>
                <w:lang w:eastAsia="zh-TW"/>
              </w:rPr>
              <w:t>max</w:t>
            </w:r>
            <w:r>
              <w:rPr>
                <w:rFonts w:ascii="Times New Roman" w:hAnsi="Times New Roman" w:eastAsia="宋体" w:cs="Times New Roman"/>
                <w:color w:val="auto"/>
                <w:lang w:eastAsia="zh-TW"/>
              </w:rPr>
              <w:t>、t</w:t>
            </w:r>
            <w:r>
              <w:rPr>
                <w:rFonts w:ascii="Times New Roman" w:hAnsi="Times New Roman" w:eastAsia="宋体" w:cs="Times New Roman"/>
                <w:color w:val="auto"/>
                <w:vertAlign w:val="subscript"/>
                <w:lang w:eastAsia="zh-TW"/>
              </w:rPr>
              <w:t>1/2</w:t>
            </w:r>
            <w:r>
              <w:rPr>
                <w:rFonts w:hint="eastAsia" w:ascii="Times New Roman" w:hAnsi="Times New Roman" w:eastAsia="宋体" w:cs="Times New Roman"/>
                <w:color w:val="auto"/>
                <w:vertAlign w:val="baseline"/>
                <w:lang w:val="en-US" w:eastAsia="zh-CN"/>
              </w:rPr>
              <w:t>等</w:t>
            </w:r>
            <w:r>
              <w:rPr>
                <w:rFonts w:ascii="Times New Roman" w:hAnsi="Times New Roman" w:eastAsia="宋体" w:cs="Times New Roman"/>
                <w:color w:val="auto"/>
                <w:lang w:eastAsia="zh-TW"/>
              </w:rPr>
              <w:t>。</w:t>
            </w:r>
          </w:p>
          <w:p>
            <w:pPr>
              <w:pStyle w:val="3"/>
              <w:autoSpaceDE w:val="0"/>
              <w:autoSpaceDN w:val="0"/>
              <w:adjustRightInd w:val="0"/>
              <w:spacing w:line="348" w:lineRule="auto"/>
              <w:ind w:left="0" w:firstLine="0"/>
              <w:contextualSpacing/>
              <w:rPr>
                <w:rFonts w:ascii="Times New Roman" w:hAnsi="Times New Roman" w:eastAsia="宋体" w:cs="Times New Roman"/>
                <w:color w:val="auto"/>
              </w:rPr>
            </w:pPr>
            <w:r>
              <w:rPr>
                <w:rFonts w:ascii="Times New Roman" w:hAnsi="Times New Roman" w:eastAsia="宋体" w:cs="Times New Roman"/>
                <w:b/>
                <w:color w:val="auto"/>
                <w:lang w:val="zh-TW" w:eastAsia="zh-TW"/>
              </w:rPr>
              <w:t>安全性评价指标：</w:t>
            </w:r>
            <w:r>
              <w:rPr>
                <w:rFonts w:ascii="Times New Roman" w:hAnsi="Times New Roman" w:eastAsia="宋体" w:cs="Times New Roman"/>
                <w:color w:val="auto"/>
                <w:lang w:val="zh-TW" w:eastAsia="zh-TW"/>
              </w:rPr>
              <w:t>观察所有受试者在临床研究期间发生的任何不良事件，包括临床症状及生命体征异常、实验室检查中出现的异常，记录其临床表现特征、严重程度、发生时间、结束时间、持续时间、处理措施及转归，并判定其与研究药物之间的相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tcPr>
          <w:p>
            <w:pPr>
              <w:widowControl w:val="0"/>
              <w:autoSpaceDE w:val="0"/>
              <w:autoSpaceDN w:val="0"/>
              <w:adjustRightInd w:val="0"/>
              <w:spacing w:line="348" w:lineRule="auto"/>
              <w:ind w:left="0" w:firstLine="0"/>
              <w:contextualSpacing/>
              <w:rPr>
                <w:b/>
                <w:bCs/>
                <w:kern w:val="2"/>
                <w:sz w:val="21"/>
                <w:szCs w:val="21"/>
                <w:u w:color="000000"/>
                <w:lang w:val="zh-TW" w:eastAsia="zh-CN"/>
              </w:rPr>
            </w:pPr>
            <w:r>
              <w:rPr>
                <w:rFonts w:hint="eastAsia"/>
                <w:b/>
                <w:bCs/>
                <w:kern w:val="2"/>
                <w:sz w:val="21"/>
                <w:szCs w:val="21"/>
                <w:u w:color="000000"/>
                <w:lang w:val="zh-TW" w:eastAsia="zh-CN"/>
              </w:rPr>
              <w:t>统计方法</w:t>
            </w:r>
          </w:p>
        </w:tc>
        <w:tc>
          <w:tcPr>
            <w:tcW w:w="7610" w:type="dxa"/>
          </w:tcPr>
          <w:p>
            <w:pPr>
              <w:widowControl w:val="0"/>
              <w:tabs>
                <w:tab w:val="left" w:pos="735"/>
              </w:tabs>
              <w:autoSpaceDE w:val="0"/>
              <w:autoSpaceDN w:val="0"/>
              <w:adjustRightInd w:val="0"/>
              <w:spacing w:line="348" w:lineRule="auto"/>
              <w:ind w:left="0" w:firstLine="0"/>
              <w:contextualSpacing/>
              <w:rPr>
                <w:sz w:val="21"/>
                <w:szCs w:val="21"/>
                <w:lang w:eastAsia="zh-CN"/>
              </w:rPr>
            </w:pPr>
            <w:r>
              <w:rPr>
                <w:rFonts w:hint="eastAsia"/>
                <w:sz w:val="21"/>
                <w:szCs w:val="21"/>
                <w:lang w:eastAsia="zh-CN"/>
              </w:rPr>
              <w:t>血药浓度（c）-时间（t）数据分析：采用PK浓度集，分别绘制个体和平均c-t曲线；列出时间点血药浓度浓均值、标准差、中位数、最大值、最小值和变异系数。</w:t>
            </w:r>
          </w:p>
          <w:p>
            <w:pPr>
              <w:widowControl w:val="0"/>
              <w:tabs>
                <w:tab w:val="left" w:pos="735"/>
              </w:tabs>
              <w:autoSpaceDE w:val="0"/>
              <w:autoSpaceDN w:val="0"/>
              <w:adjustRightInd w:val="0"/>
              <w:spacing w:line="348" w:lineRule="auto"/>
              <w:ind w:left="0" w:firstLine="0"/>
              <w:contextualSpacing/>
              <w:rPr>
                <w:sz w:val="21"/>
                <w:szCs w:val="21"/>
                <w:lang w:eastAsia="zh-CN"/>
              </w:rPr>
            </w:pPr>
            <w:r>
              <w:rPr>
                <w:rFonts w:hint="eastAsia"/>
                <w:sz w:val="21"/>
                <w:szCs w:val="21"/>
                <w:lang w:eastAsia="zh-CN"/>
              </w:rPr>
              <w:t>PK参数分析：采用PK</w:t>
            </w:r>
            <w:r>
              <w:rPr>
                <w:rFonts w:hint="eastAsia"/>
                <w:sz w:val="21"/>
                <w:szCs w:val="21"/>
                <w:lang w:val="en-US" w:eastAsia="zh-CN"/>
              </w:rPr>
              <w:t>PS</w:t>
            </w:r>
            <w:r>
              <w:rPr>
                <w:rFonts w:hint="eastAsia"/>
                <w:sz w:val="21"/>
                <w:szCs w:val="21"/>
                <w:lang w:eastAsia="zh-CN"/>
              </w:rPr>
              <w:t>集，由非房室模型计算各受试者的药代参数，包括：C</w:t>
            </w:r>
            <w:r>
              <w:rPr>
                <w:rFonts w:hint="eastAsia"/>
                <w:sz w:val="21"/>
                <w:szCs w:val="21"/>
                <w:vertAlign w:val="subscript"/>
                <w:lang w:eastAsia="zh-CN"/>
              </w:rPr>
              <w:t>max</w:t>
            </w:r>
            <w:r>
              <w:rPr>
                <w:rFonts w:hint="eastAsia"/>
                <w:sz w:val="21"/>
                <w:szCs w:val="21"/>
                <w:lang w:eastAsia="zh-CN"/>
              </w:rPr>
              <w:t>，AUC</w:t>
            </w:r>
            <w:r>
              <w:rPr>
                <w:rFonts w:hint="eastAsia"/>
                <w:sz w:val="21"/>
                <w:szCs w:val="21"/>
                <w:vertAlign w:val="subscript"/>
                <w:lang w:eastAsia="zh-CN"/>
              </w:rPr>
              <w:t>0-t</w:t>
            </w:r>
            <w:r>
              <w:rPr>
                <w:rFonts w:hint="eastAsia"/>
                <w:sz w:val="21"/>
                <w:szCs w:val="21"/>
                <w:lang w:eastAsia="zh-CN"/>
              </w:rPr>
              <w:t>，</w:t>
            </w:r>
            <w:r>
              <w:rPr>
                <w:sz w:val="21"/>
                <w:szCs w:val="21"/>
                <w:lang w:eastAsia="zh-CN"/>
              </w:rPr>
              <w:t>AUC</w:t>
            </w:r>
            <w:r>
              <w:rPr>
                <w:sz w:val="21"/>
                <w:szCs w:val="21"/>
                <w:vertAlign w:val="subscript"/>
                <w:lang w:eastAsia="zh-CN"/>
              </w:rPr>
              <w:t>0-∞</w:t>
            </w:r>
            <w:r>
              <w:rPr>
                <w:rFonts w:hint="eastAsia"/>
                <w:sz w:val="21"/>
                <w:szCs w:val="21"/>
                <w:lang w:eastAsia="zh-CN"/>
              </w:rPr>
              <w:t>，T</w:t>
            </w:r>
            <w:r>
              <w:rPr>
                <w:rFonts w:hint="eastAsia"/>
                <w:sz w:val="21"/>
                <w:szCs w:val="21"/>
                <w:vertAlign w:val="subscript"/>
                <w:lang w:eastAsia="zh-CN"/>
              </w:rPr>
              <w:t>max</w:t>
            </w:r>
            <w:r>
              <w:rPr>
                <w:rFonts w:hint="eastAsia"/>
                <w:sz w:val="21"/>
                <w:szCs w:val="21"/>
                <w:lang w:eastAsia="zh-CN"/>
              </w:rPr>
              <w:t>，t</w:t>
            </w:r>
            <w:r>
              <w:rPr>
                <w:rFonts w:hint="eastAsia"/>
                <w:sz w:val="21"/>
                <w:szCs w:val="21"/>
                <w:vertAlign w:val="subscript"/>
                <w:lang w:eastAsia="zh-CN"/>
              </w:rPr>
              <w:t>1/2</w:t>
            </w:r>
            <w:r>
              <w:rPr>
                <w:rFonts w:hint="eastAsia"/>
                <w:sz w:val="21"/>
                <w:szCs w:val="21"/>
                <w:lang w:eastAsia="zh-CN"/>
              </w:rPr>
              <w:t>等。计算各参数的算术均值，标准差、变异系数、中位数、最大值、最小值和几何均数。</w:t>
            </w:r>
          </w:p>
          <w:p>
            <w:pPr>
              <w:widowControl w:val="0"/>
              <w:tabs>
                <w:tab w:val="left" w:pos="735"/>
              </w:tabs>
              <w:autoSpaceDE w:val="0"/>
              <w:autoSpaceDN w:val="0"/>
              <w:adjustRightInd w:val="0"/>
              <w:spacing w:line="348" w:lineRule="auto"/>
              <w:ind w:left="0" w:firstLine="0"/>
              <w:contextualSpacing/>
              <w:rPr>
                <w:sz w:val="21"/>
                <w:szCs w:val="21"/>
                <w:lang w:eastAsia="zh-CN"/>
              </w:rPr>
            </w:pPr>
            <w:r>
              <w:rPr>
                <w:rFonts w:hint="eastAsia"/>
                <w:sz w:val="21"/>
                <w:szCs w:val="21"/>
                <w:lang w:eastAsia="zh-CN"/>
              </w:rPr>
              <w:t>主要评价指标分析：采用BES，将C</w:t>
            </w:r>
            <w:r>
              <w:rPr>
                <w:rFonts w:hint="eastAsia"/>
                <w:sz w:val="21"/>
                <w:szCs w:val="21"/>
                <w:vertAlign w:val="subscript"/>
                <w:lang w:eastAsia="zh-CN"/>
              </w:rPr>
              <w:t>max</w:t>
            </w:r>
            <w:r>
              <w:rPr>
                <w:rFonts w:hint="eastAsia"/>
                <w:sz w:val="21"/>
                <w:szCs w:val="21"/>
                <w:lang w:eastAsia="zh-CN"/>
              </w:rPr>
              <w:t>、AUC</w:t>
            </w:r>
            <w:r>
              <w:rPr>
                <w:rFonts w:hint="eastAsia"/>
                <w:sz w:val="21"/>
                <w:szCs w:val="21"/>
                <w:vertAlign w:val="subscript"/>
                <w:lang w:eastAsia="zh-CN"/>
              </w:rPr>
              <w:t>0-t</w:t>
            </w:r>
            <w:r>
              <w:rPr>
                <w:rFonts w:hint="eastAsia"/>
                <w:sz w:val="21"/>
                <w:szCs w:val="21"/>
                <w:lang w:eastAsia="zh-CN"/>
              </w:rPr>
              <w:t>和AUC</w:t>
            </w:r>
            <w:r>
              <w:rPr>
                <w:rFonts w:hint="eastAsia"/>
                <w:sz w:val="21"/>
                <w:szCs w:val="21"/>
                <w:vertAlign w:val="subscript"/>
                <w:lang w:eastAsia="zh-CN"/>
              </w:rPr>
              <w:t>0-∞</w:t>
            </w:r>
            <w:r>
              <w:rPr>
                <w:rFonts w:hint="eastAsia"/>
                <w:sz w:val="21"/>
                <w:szCs w:val="21"/>
                <w:lang w:eastAsia="zh-CN"/>
              </w:rPr>
              <w:t>经对数转换后进行方差分析（ANOVA）。方差分析模型中顺序、药物、周期作为固定效应，受试者（顺序）作为随机效应。计算主要指标的几何均值比（受试制剂/参比制剂）的90%置信区间，是否在等效区间（80.00~125.00%）之内。</w:t>
            </w:r>
          </w:p>
          <w:p>
            <w:pPr>
              <w:widowControl w:val="0"/>
              <w:tabs>
                <w:tab w:val="left" w:pos="735"/>
              </w:tabs>
              <w:autoSpaceDE w:val="0"/>
              <w:autoSpaceDN w:val="0"/>
              <w:adjustRightInd w:val="0"/>
              <w:spacing w:line="348" w:lineRule="auto"/>
              <w:ind w:left="0" w:firstLine="0"/>
              <w:contextualSpacing/>
              <w:rPr>
                <w:sz w:val="21"/>
                <w:szCs w:val="21"/>
                <w:lang w:eastAsia="zh-CN"/>
              </w:rPr>
            </w:pPr>
            <w:r>
              <w:rPr>
                <w:rFonts w:hint="eastAsia"/>
                <w:sz w:val="21"/>
                <w:szCs w:val="21"/>
                <w:lang w:eastAsia="zh-CN"/>
              </w:rPr>
              <w:t>安全性分析：计算不良反应发生率和系统归类。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625" w:type="dxa"/>
            <w:vAlign w:val="center"/>
          </w:tcPr>
          <w:p>
            <w:pPr>
              <w:widowControl w:val="0"/>
              <w:autoSpaceDE w:val="0"/>
              <w:autoSpaceDN w:val="0"/>
              <w:adjustRightInd w:val="0"/>
              <w:spacing w:line="348" w:lineRule="auto"/>
              <w:ind w:left="0" w:firstLine="0"/>
              <w:contextualSpacing/>
              <w:rPr>
                <w:b/>
                <w:bCs/>
                <w:kern w:val="2"/>
                <w:sz w:val="21"/>
                <w:szCs w:val="21"/>
                <w:u w:color="000000"/>
                <w:lang w:val="zh-TW" w:eastAsia="zh-CN"/>
              </w:rPr>
            </w:pPr>
            <w:r>
              <w:rPr>
                <w:rFonts w:hint="eastAsia"/>
                <w:b/>
                <w:sz w:val="21"/>
                <w:szCs w:val="21"/>
              </w:rPr>
              <w:t>生物等效性评价</w:t>
            </w:r>
          </w:p>
        </w:tc>
        <w:tc>
          <w:tcPr>
            <w:tcW w:w="7610" w:type="dxa"/>
            <w:vAlign w:val="center"/>
          </w:tcPr>
          <w:p>
            <w:pPr>
              <w:widowControl w:val="0"/>
              <w:tabs>
                <w:tab w:val="left" w:pos="735"/>
              </w:tabs>
              <w:autoSpaceDE w:val="0"/>
              <w:autoSpaceDN w:val="0"/>
              <w:adjustRightInd w:val="0"/>
              <w:spacing w:line="348" w:lineRule="auto"/>
              <w:ind w:left="0" w:firstLine="0"/>
              <w:contextualSpacing/>
              <w:rPr>
                <w:sz w:val="21"/>
                <w:szCs w:val="21"/>
                <w:lang w:eastAsia="zh-CN"/>
              </w:rPr>
            </w:pPr>
            <w:r>
              <w:rPr>
                <w:rFonts w:hint="eastAsia"/>
                <w:kern w:val="2"/>
                <w:sz w:val="21"/>
                <w:szCs w:val="21"/>
                <w:lang w:eastAsia="zh-CN"/>
              </w:rPr>
              <w:t>受试制剂和参比制剂的药动学参数C</w:t>
            </w:r>
            <w:r>
              <w:rPr>
                <w:rFonts w:hint="eastAsia"/>
                <w:kern w:val="2"/>
                <w:sz w:val="21"/>
                <w:szCs w:val="21"/>
                <w:vertAlign w:val="subscript"/>
                <w:lang w:eastAsia="zh-CN"/>
              </w:rPr>
              <w:t>max</w:t>
            </w:r>
            <w:r>
              <w:rPr>
                <w:rFonts w:hint="eastAsia"/>
                <w:kern w:val="2"/>
                <w:sz w:val="21"/>
                <w:szCs w:val="21"/>
                <w:lang w:eastAsia="zh-CN"/>
              </w:rPr>
              <w:t>、AUC</w:t>
            </w:r>
            <w:r>
              <w:rPr>
                <w:rFonts w:hint="eastAsia"/>
                <w:kern w:val="2"/>
                <w:sz w:val="21"/>
                <w:szCs w:val="21"/>
                <w:vertAlign w:val="subscript"/>
                <w:lang w:eastAsia="zh-CN"/>
              </w:rPr>
              <w:t>0-t</w:t>
            </w:r>
            <w:r>
              <w:rPr>
                <w:rFonts w:hint="eastAsia"/>
                <w:kern w:val="2"/>
                <w:sz w:val="21"/>
                <w:szCs w:val="21"/>
                <w:lang w:eastAsia="zh-CN"/>
              </w:rPr>
              <w:t>、A</w:t>
            </w:r>
            <w:r>
              <w:rPr>
                <w:kern w:val="2"/>
                <w:sz w:val="21"/>
                <w:szCs w:val="21"/>
                <w:lang w:eastAsia="zh-CN"/>
              </w:rPr>
              <w:t>UC</w:t>
            </w:r>
            <w:r>
              <w:rPr>
                <w:kern w:val="2"/>
                <w:sz w:val="21"/>
                <w:szCs w:val="21"/>
                <w:vertAlign w:val="subscript"/>
                <w:lang w:eastAsia="zh-CN"/>
              </w:rPr>
              <w:t>0-∞</w:t>
            </w:r>
            <w:r>
              <w:rPr>
                <w:rFonts w:hint="eastAsia"/>
                <w:kern w:val="2"/>
                <w:sz w:val="21"/>
                <w:szCs w:val="21"/>
                <w:lang w:eastAsia="zh-CN"/>
              </w:rPr>
              <w:t>几何均值比的90%置信区间在80.00%~125.00%范围内。</w:t>
            </w:r>
          </w:p>
        </w:tc>
      </w:tr>
    </w:tbl>
    <w:p>
      <w:pPr>
        <w:pStyle w:val="3"/>
        <w:keepNext/>
        <w:keepLines/>
        <w:autoSpaceDE w:val="0"/>
        <w:autoSpaceDN w:val="0"/>
        <w:adjustRightInd w:val="0"/>
        <w:ind w:left="0" w:firstLine="0"/>
        <w:contextualSpacing/>
        <w:jc w:val="center"/>
        <w:outlineLvl w:val="0"/>
        <w:rPr>
          <w:rFonts w:ascii="Times New Roman" w:hAnsi="Times New Roman" w:cs="Times New Roman" w:eastAsiaTheme="minorEastAsia"/>
          <w:b/>
          <w:bCs/>
          <w:color w:val="auto"/>
          <w:kern w:val="44"/>
          <w:sz w:val="28"/>
          <w:szCs w:val="28"/>
          <w:lang w:val="zh-TW" w:eastAsia="zh-TW"/>
        </w:rPr>
      </w:pPr>
      <w:r>
        <w:rPr>
          <w:rFonts w:ascii="Times New Roman" w:hAnsi="Times New Roman" w:cs="Times New Roman" w:eastAsiaTheme="minorEastAsia"/>
          <w:b/>
          <w:bCs/>
          <w:color w:val="auto"/>
          <w:kern w:val="44"/>
          <w:sz w:val="28"/>
          <w:szCs w:val="28"/>
        </w:rPr>
        <w:br w:type="page"/>
      </w:r>
      <w:bookmarkStart w:id="8" w:name="_Toc521584529"/>
      <w:bookmarkStart w:id="9" w:name="_Toc27682"/>
      <w:r>
        <w:rPr>
          <w:rFonts w:ascii="Times New Roman" w:hAnsi="Times New Roman" w:cs="Times New Roman" w:eastAsiaTheme="minorEastAsia"/>
          <w:b/>
          <w:bCs/>
          <w:color w:val="auto"/>
          <w:kern w:val="44"/>
          <w:sz w:val="28"/>
          <w:szCs w:val="28"/>
          <w:lang w:val="zh-TW" w:eastAsia="zh-TW"/>
        </w:rPr>
        <w:t>缩略语表</w:t>
      </w:r>
      <w:bookmarkEnd w:id="8"/>
      <w:bookmarkEnd w:id="9"/>
    </w:p>
    <w:tbl>
      <w:tblPr>
        <w:tblStyle w:val="27"/>
        <w:tblW w:w="9099" w:type="dxa"/>
        <w:jc w:val="center"/>
        <w:tblInd w:w="0" w:type="dxa"/>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89"/>
        <w:gridCol w:w="6910"/>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blHeader/>
          <w:jc w:val="center"/>
        </w:trPr>
        <w:tc>
          <w:tcPr>
            <w:tcW w:w="2189" w:type="dxa"/>
            <w:tcBorders>
              <w:top w:val="single" w:color="000000" w:sz="4" w:space="0"/>
              <w:bottom w:val="single" w:color="000000" w:sz="4" w:space="0"/>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b/>
                <w:sz w:val="21"/>
                <w:szCs w:val="21"/>
                <w:u w:color="000000"/>
                <w:lang w:eastAsia="zh-CN"/>
              </w:rPr>
            </w:pPr>
            <w:r>
              <w:rPr>
                <w:rFonts w:eastAsiaTheme="minorEastAsia"/>
                <w:b/>
                <w:sz w:val="21"/>
                <w:szCs w:val="21"/>
                <w:u w:color="000000"/>
                <w:lang w:eastAsia="zh-CN"/>
              </w:rPr>
              <w:t>缩略语</w:t>
            </w:r>
          </w:p>
        </w:tc>
        <w:tc>
          <w:tcPr>
            <w:tcW w:w="6910" w:type="dxa"/>
            <w:tcBorders>
              <w:top w:val="single" w:color="000000" w:sz="4" w:space="0"/>
              <w:bottom w:val="single" w:color="000000" w:sz="4" w:space="0"/>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b/>
                <w:sz w:val="21"/>
                <w:szCs w:val="21"/>
                <w:u w:color="000000"/>
                <w:lang w:val="zh-TW" w:eastAsia="zh-CN"/>
              </w:rPr>
            </w:pPr>
            <w:r>
              <w:rPr>
                <w:rFonts w:eastAsiaTheme="minorEastAsia"/>
                <w:b/>
                <w:sz w:val="21"/>
                <w:szCs w:val="21"/>
                <w:u w:color="000000"/>
                <w:lang w:val="zh-TW" w:eastAsia="zh-CN"/>
              </w:rPr>
              <w:t>解释</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AE</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不良事件</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ANOVA</w:t>
            </w:r>
          </w:p>
        </w:tc>
        <w:tc>
          <w:tcPr>
            <w:tcW w:w="6910"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方差分析</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AUC</w:t>
            </w:r>
            <w:r>
              <w:rPr>
                <w:rFonts w:eastAsiaTheme="minorEastAsia"/>
                <w:sz w:val="21"/>
                <w:szCs w:val="21"/>
                <w:u w:color="000000"/>
                <w:vertAlign w:val="subscript"/>
                <w:lang w:eastAsia="zh-CN"/>
              </w:rPr>
              <w:t>0-∞</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sz w:val="21"/>
                <w:szCs w:val="21"/>
                <w:lang w:eastAsia="zh-CN"/>
              </w:rPr>
              <w:t>从</w:t>
            </w:r>
            <w:r>
              <w:rPr>
                <w:sz w:val="21"/>
                <w:szCs w:val="21"/>
                <w:lang w:eastAsia="zh-CN"/>
              </w:rPr>
              <w:t>0</w:t>
            </w:r>
            <w:r>
              <w:rPr>
                <w:rFonts w:hint="eastAsia"/>
                <w:sz w:val="21"/>
                <w:szCs w:val="21"/>
                <w:lang w:eastAsia="zh-CN"/>
              </w:rPr>
              <w:t>时到无限时间（</w:t>
            </w:r>
            <w:r>
              <w:rPr>
                <w:sz w:val="21"/>
                <w:szCs w:val="21"/>
                <w:lang w:eastAsia="zh-CN"/>
              </w:rPr>
              <w:t>∞</w:t>
            </w:r>
            <w:r>
              <w:rPr>
                <w:rFonts w:hint="eastAsia"/>
                <w:sz w:val="21"/>
                <w:szCs w:val="21"/>
                <w:lang w:eastAsia="zh-CN"/>
              </w:rPr>
              <w:t>）的药物浓度</w:t>
            </w:r>
            <w:r>
              <w:rPr>
                <w:sz w:val="21"/>
                <w:szCs w:val="21"/>
                <w:lang w:eastAsia="zh-CN"/>
              </w:rPr>
              <w:t>-</w:t>
            </w:r>
            <w:r>
              <w:rPr>
                <w:rFonts w:hint="eastAsia"/>
                <w:sz w:val="21"/>
                <w:szCs w:val="21"/>
                <w:lang w:eastAsia="zh-CN"/>
              </w:rPr>
              <w:t>时间曲线下面积</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AUC</w:t>
            </w:r>
            <w:r>
              <w:rPr>
                <w:rFonts w:eastAsiaTheme="minorEastAsia"/>
                <w:sz w:val="21"/>
                <w:szCs w:val="21"/>
                <w:u w:color="000000"/>
                <w:vertAlign w:val="subscript"/>
                <w:lang w:eastAsia="zh-CN"/>
              </w:rPr>
              <w:t>0-t</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sz w:val="21"/>
                <w:szCs w:val="21"/>
                <w:lang w:eastAsia="zh-CN"/>
              </w:rPr>
              <w:t>从</w:t>
            </w:r>
            <w:r>
              <w:rPr>
                <w:sz w:val="21"/>
                <w:szCs w:val="21"/>
                <w:lang w:eastAsia="zh-CN"/>
              </w:rPr>
              <w:t>0</w:t>
            </w:r>
            <w:r>
              <w:rPr>
                <w:rFonts w:hint="eastAsia"/>
                <w:sz w:val="21"/>
                <w:szCs w:val="21"/>
                <w:lang w:eastAsia="zh-CN"/>
              </w:rPr>
              <w:t>时到最后一个浓度可准确测定的样品采集时间</w:t>
            </w:r>
            <w:r>
              <w:rPr>
                <w:sz w:val="21"/>
                <w:szCs w:val="21"/>
                <w:lang w:eastAsia="zh-CN"/>
              </w:rPr>
              <w:t>t</w:t>
            </w:r>
            <w:r>
              <w:rPr>
                <w:rFonts w:hint="eastAsia"/>
                <w:sz w:val="21"/>
                <w:szCs w:val="21"/>
                <w:lang w:eastAsia="zh-CN"/>
              </w:rPr>
              <w:t>的药物浓度</w:t>
            </w:r>
            <w:r>
              <w:rPr>
                <w:sz w:val="21"/>
                <w:szCs w:val="21"/>
                <w:lang w:eastAsia="zh-CN"/>
              </w:rPr>
              <w:t>-</w:t>
            </w:r>
            <w:r>
              <w:rPr>
                <w:rFonts w:hint="eastAsia"/>
                <w:sz w:val="21"/>
                <w:szCs w:val="21"/>
                <w:lang w:eastAsia="zh-CN"/>
              </w:rPr>
              <w:t>时间曲线下面积</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color w:val="000000"/>
                <w:sz w:val="21"/>
                <w:szCs w:val="21"/>
              </w:rPr>
              <w:t>BMI</w:t>
            </w:r>
          </w:p>
        </w:tc>
        <w:tc>
          <w:tcPr>
            <w:tcW w:w="6910"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sz w:val="21"/>
                <w:szCs w:val="21"/>
              </w:rPr>
              <w:t>体重指数</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C</w:t>
            </w:r>
            <w:r>
              <w:rPr>
                <w:rFonts w:eastAsiaTheme="minorEastAsia"/>
                <w:sz w:val="21"/>
                <w:szCs w:val="21"/>
                <w:u w:color="000000"/>
                <w:vertAlign w:val="subscript"/>
                <w:lang w:eastAsia="zh-CN"/>
              </w:rPr>
              <w:t>max</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eastAsia="zh-CN"/>
              </w:rPr>
              <w:t>峰浓度</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CRA</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hint="eastAsia" w:eastAsiaTheme="minorEastAsia"/>
                <w:sz w:val="21"/>
                <w:szCs w:val="21"/>
                <w:u w:color="000000"/>
                <w:lang w:val="en-US" w:eastAsia="zh-CN"/>
              </w:rPr>
            </w:pPr>
            <w:r>
              <w:rPr>
                <w:rFonts w:hint="eastAsia" w:eastAsiaTheme="minorEastAsia"/>
                <w:sz w:val="21"/>
                <w:szCs w:val="21"/>
                <w:u w:color="000000"/>
                <w:lang w:val="en-US" w:eastAsia="zh-CN"/>
              </w:rPr>
              <w:t>临床监查员</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hint="eastAsia" w:eastAsiaTheme="minorEastAsia"/>
                <w:sz w:val="21"/>
                <w:szCs w:val="21"/>
                <w:u w:color="000000"/>
                <w:lang w:val="en-US" w:eastAsia="zh-CN"/>
              </w:rPr>
            </w:pPr>
            <w:r>
              <w:rPr>
                <w:rFonts w:hint="eastAsia" w:eastAsiaTheme="minorEastAsia"/>
                <w:sz w:val="21"/>
                <w:szCs w:val="21"/>
                <w:u w:color="000000"/>
                <w:lang w:val="en-US" w:eastAsia="zh-CN"/>
              </w:rPr>
              <w:t>CRC</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hint="eastAsia" w:eastAsiaTheme="minorEastAsia"/>
                <w:sz w:val="21"/>
                <w:szCs w:val="21"/>
                <w:u w:color="000000"/>
                <w:lang w:val="en-US" w:eastAsia="zh-CN"/>
              </w:rPr>
            </w:pPr>
            <w:r>
              <w:rPr>
                <w:rFonts w:hint="eastAsia" w:eastAsiaTheme="minorEastAsia"/>
                <w:sz w:val="21"/>
                <w:szCs w:val="21"/>
                <w:u w:color="000000"/>
                <w:lang w:val="en-US" w:eastAsia="zh-CN"/>
              </w:rPr>
              <w:t>临床协调员</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eastAsia="zh-CN"/>
              </w:rPr>
              <w:t>NMPA</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国家</w:t>
            </w:r>
            <w:r>
              <w:rPr>
                <w:rFonts w:hint="eastAsia" w:eastAsiaTheme="minorEastAsia"/>
                <w:sz w:val="21"/>
                <w:szCs w:val="21"/>
                <w:u w:color="000000"/>
                <w:lang w:eastAsia="zh-CN"/>
              </w:rPr>
              <w:t>药品</w:t>
            </w:r>
            <w:r>
              <w:rPr>
                <w:rFonts w:eastAsiaTheme="minorEastAsia"/>
                <w:sz w:val="21"/>
                <w:szCs w:val="21"/>
                <w:u w:color="000000"/>
                <w:lang w:eastAsia="zh-CN"/>
              </w:rPr>
              <w:t>监督管理</w:t>
            </w:r>
            <w:r>
              <w:rPr>
                <w:rFonts w:hint="eastAsia" w:eastAsiaTheme="minorEastAsia"/>
                <w:sz w:val="21"/>
                <w:szCs w:val="21"/>
                <w:u w:color="000000"/>
                <w:lang w:eastAsia="zh-CN"/>
              </w:rPr>
              <w:t>局</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val="en-US" w:eastAsia="zh-CN"/>
              </w:rPr>
              <w:t>e</w:t>
            </w:r>
            <w:r>
              <w:rPr>
                <w:rFonts w:eastAsiaTheme="minorEastAsia"/>
                <w:sz w:val="21"/>
                <w:szCs w:val="21"/>
                <w:u w:color="000000"/>
                <w:lang w:eastAsia="zh-CN"/>
              </w:rPr>
              <w:t>CRF</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val="en-US" w:eastAsia="zh-CN"/>
              </w:rPr>
              <w:t>电子</w:t>
            </w:r>
            <w:r>
              <w:rPr>
                <w:rFonts w:eastAsiaTheme="minorEastAsia"/>
                <w:sz w:val="21"/>
                <w:szCs w:val="21"/>
                <w:u w:color="000000"/>
                <w:lang w:eastAsia="zh-CN"/>
              </w:rPr>
              <w:t>病例报告表</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hint="eastAsia" w:ascii="Times New Roman" w:hAnsi="Times New Roman" w:cs="Times New Roman" w:eastAsiaTheme="minorEastAsia"/>
                <w:b w:val="0"/>
                <w:kern w:val="2"/>
                <w:sz w:val="21"/>
                <w:szCs w:val="21"/>
                <w:lang w:val="en-US" w:eastAsia="zh-CN"/>
              </w:rPr>
              <w:t>I</w:t>
            </w:r>
            <w:r>
              <w:rPr>
                <w:rFonts w:ascii="Times New Roman" w:hAnsi="Times New Roman" w:cs="Times New Roman" w:eastAsiaTheme="minorEastAsia"/>
                <w:b w:val="0"/>
                <w:kern w:val="2"/>
                <w:sz w:val="21"/>
                <w:szCs w:val="21"/>
                <w:lang w:val="en-US"/>
              </w:rPr>
              <w:t>EC</w:t>
            </w:r>
          </w:p>
        </w:tc>
        <w:tc>
          <w:tcPr>
            <w:tcW w:w="6910"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hint="eastAsia" w:ascii="Times New Roman" w:hAnsi="Times New Roman" w:cs="Times New Roman" w:eastAsiaTheme="minorEastAsia"/>
                <w:b w:val="0"/>
                <w:kern w:val="2"/>
                <w:sz w:val="21"/>
                <w:szCs w:val="21"/>
                <w:lang w:val="en-US" w:eastAsia="zh-CN"/>
              </w:rPr>
              <w:t>独立</w:t>
            </w:r>
            <w:r>
              <w:rPr>
                <w:rFonts w:ascii="Times New Roman" w:hAnsi="Times New Roman" w:cs="Times New Roman" w:eastAsiaTheme="minorEastAsia"/>
                <w:b w:val="0"/>
                <w:kern w:val="2"/>
                <w:sz w:val="21"/>
                <w:szCs w:val="21"/>
                <w:lang w:val="en-US"/>
              </w:rPr>
              <w:t>伦理委员会</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eastAsia="zh-CN"/>
              </w:rPr>
              <w:t>EDTA-K</w:t>
            </w:r>
            <w:r>
              <w:rPr>
                <w:rFonts w:ascii="Times New Roman" w:hAnsi="Times New Roman" w:cs="Times New Roman" w:eastAsiaTheme="minorEastAsia"/>
                <w:b w:val="0"/>
                <w:kern w:val="2"/>
                <w:sz w:val="21"/>
                <w:szCs w:val="21"/>
                <w:vertAlign w:val="subscript"/>
                <w:lang w:val="en-US" w:eastAsia="zh-CN"/>
              </w:rPr>
              <w:t>2</w:t>
            </w:r>
          </w:p>
        </w:tc>
        <w:tc>
          <w:tcPr>
            <w:tcW w:w="6910"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hint="eastAsia" w:ascii="Times New Roman" w:hAnsi="Times New Roman" w:cs="Times New Roman" w:eastAsiaTheme="minorEastAsia"/>
                <w:b w:val="0"/>
                <w:kern w:val="2"/>
                <w:sz w:val="21"/>
                <w:szCs w:val="21"/>
                <w:lang w:val="en-US" w:eastAsia="zh-CN"/>
              </w:rPr>
              <w:t>抗凝剂</w:t>
            </w:r>
            <w:r>
              <w:rPr>
                <w:rFonts w:hint="eastAsia" w:ascii="Times New Roman" w:hAnsi="Times New Roman" w:cs="Times New Roman" w:eastAsiaTheme="minorEastAsia"/>
                <w:b w:val="0"/>
                <w:kern w:val="2"/>
                <w:sz w:val="21"/>
                <w:szCs w:val="21"/>
                <w:lang w:val="en-US"/>
              </w:rPr>
              <w:t>乙二胺四乙酸二钾</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FDA</w:t>
            </w:r>
          </w:p>
        </w:tc>
        <w:tc>
          <w:tcPr>
            <w:tcW w:w="6910" w:type="dxa"/>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美国食品药品监督管理局</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GCP</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药物临床试验质量管理规范</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h</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小时</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HBsAg</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乙肝病毒表面抗原</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HBV</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乙型肝炎</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HIV</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人免疫缺陷病毒</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eastAsiaTheme="minorEastAsia"/>
                <w:kern w:val="2"/>
                <w:sz w:val="21"/>
                <w:szCs w:val="21"/>
              </w:rPr>
              <w:t>HP</w:t>
            </w:r>
            <w:r>
              <w:rPr>
                <w:rFonts w:eastAsiaTheme="minorEastAsia"/>
                <w:sz w:val="21"/>
                <w:szCs w:val="21"/>
                <w:u w:color="000000"/>
                <w:lang w:eastAsia="zh-CN"/>
              </w:rPr>
              <w:t>LC-MS</w:t>
            </w:r>
            <w:r>
              <w:rPr>
                <w:rFonts w:hint="eastAsia" w:eastAsiaTheme="minorEastAsia"/>
                <w:sz w:val="21"/>
                <w:szCs w:val="21"/>
                <w:u w:color="000000"/>
                <w:lang w:val="en-US" w:eastAsia="zh-CN"/>
              </w:rPr>
              <w:t>/MS</w:t>
            </w:r>
          </w:p>
        </w:tc>
        <w:tc>
          <w:tcPr>
            <w:tcW w:w="6910" w:type="dxa"/>
            <w:tcBorders>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eastAsiaTheme="minorEastAsia"/>
                <w:sz w:val="21"/>
                <w:szCs w:val="21"/>
                <w:u w:color="000000"/>
                <w:lang w:eastAsia="zh-CN"/>
              </w:rPr>
              <w:t>高效液相</w:t>
            </w:r>
            <w:r>
              <w:rPr>
                <w:rFonts w:hint="eastAsia" w:eastAsiaTheme="minorEastAsia"/>
                <w:sz w:val="21"/>
                <w:szCs w:val="21"/>
                <w:u w:color="000000"/>
                <w:lang w:val="en-US" w:eastAsia="zh-CN"/>
              </w:rPr>
              <w:t>串联质谱</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L</w:t>
            </w:r>
          </w:p>
        </w:tc>
        <w:tc>
          <w:tcPr>
            <w:tcW w:w="6910" w:type="dxa"/>
            <w:tcBorders>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升</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kg</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千克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Max</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最大值</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MedDRA</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医学注册术语词典</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mg</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毫克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mmHg</w:t>
            </w:r>
          </w:p>
        </w:tc>
        <w:tc>
          <w:tcPr>
            <w:tcW w:w="6910" w:type="dxa"/>
            <w:tcBorders>
              <w:top w:val="nil"/>
              <w:bottom w:val="nil"/>
            </w:tcBorders>
            <w:tcMar>
              <w:top w:w="28" w:type="dxa"/>
              <w:left w:w="113" w:type="dxa"/>
              <w:bottom w:w="28" w:type="dxa"/>
              <w:right w:w="113" w:type="dxa"/>
            </w:tcMar>
            <w:vAlign w:val="cente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毫米汞柱</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min</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分钟</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m</w:t>
            </w:r>
            <w:r>
              <w:rPr>
                <w:rFonts w:hint="eastAsia" w:eastAsiaTheme="minorEastAsia"/>
                <w:sz w:val="21"/>
                <w:szCs w:val="21"/>
                <w:u w:color="000000"/>
                <w:lang w:val="en-US" w:eastAsia="zh-CN"/>
              </w:rPr>
              <w:t>L</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毫升</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val="en-US" w:eastAsia="zh-CN"/>
              </w:rPr>
              <w:t>N</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ng</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纳克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lang w:eastAsia="zh-CN"/>
              </w:rPr>
              <w:t>RNA</w:t>
            </w:r>
          </w:p>
        </w:tc>
        <w:tc>
          <w:tcPr>
            <w:tcW w:w="6910" w:type="dxa"/>
            <w:tcBorders>
              <w:top w:val="nil"/>
              <w:bottom w:val="nil"/>
            </w:tcBorders>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核糖核酸</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SAE</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严重不良事件</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eastAsiaTheme="minorEastAsia"/>
                <w:sz w:val="21"/>
                <w:szCs w:val="21"/>
                <w:u w:color="000000"/>
                <w:lang w:eastAsia="zh-CN"/>
              </w:rPr>
              <w:t>SD</w:t>
            </w:r>
            <w:r>
              <w:rPr>
                <w:rFonts w:hint="eastAsia" w:eastAsiaTheme="minorEastAsia"/>
                <w:sz w:val="21"/>
                <w:szCs w:val="21"/>
                <w:u w:color="000000"/>
                <w:lang w:val="en-US" w:eastAsia="zh-CN"/>
              </w:rPr>
              <w:t>V</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val="en-US" w:eastAsia="zh-CN"/>
              </w:rPr>
            </w:pPr>
            <w:r>
              <w:rPr>
                <w:rFonts w:hint="eastAsia" w:eastAsiaTheme="minorEastAsia"/>
                <w:sz w:val="21"/>
                <w:szCs w:val="21"/>
                <w:u w:color="000000"/>
                <w:lang w:val="en-US" w:eastAsia="zh-CN"/>
              </w:rPr>
              <w:t>源数据现场核查</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SOP</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标准操作规程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vertAlign w:val="subscript"/>
                <w:lang w:eastAsia="zh-CN"/>
              </w:rPr>
            </w:pPr>
            <w:r>
              <w:rPr>
                <w:rFonts w:eastAsiaTheme="minorEastAsia"/>
                <w:sz w:val="21"/>
                <w:szCs w:val="21"/>
                <w:u w:color="000000"/>
                <w:lang w:eastAsia="zh-CN"/>
              </w:rPr>
              <w:t>t</w:t>
            </w:r>
            <w:r>
              <w:rPr>
                <w:rFonts w:eastAsiaTheme="minorEastAsia"/>
                <w:sz w:val="21"/>
                <w:szCs w:val="21"/>
                <w:u w:color="000000"/>
                <w:vertAlign w:val="subscript"/>
                <w:lang w:eastAsia="zh-CN"/>
              </w:rPr>
              <w:t>1/2</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eastAsia="zh-CN"/>
              </w:rPr>
              <w:t>消除</w:t>
            </w:r>
            <w:r>
              <w:rPr>
                <w:rFonts w:eastAsiaTheme="minorEastAsia"/>
                <w:sz w:val="21"/>
                <w:szCs w:val="21"/>
                <w:u w:color="000000"/>
                <w:lang w:eastAsia="zh-CN"/>
              </w:rPr>
              <w:t>半衰期</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T</w:t>
            </w:r>
            <w:r>
              <w:rPr>
                <w:rFonts w:eastAsiaTheme="minorEastAsia"/>
                <w:sz w:val="21"/>
                <w:szCs w:val="21"/>
                <w:u w:color="000000"/>
                <w:vertAlign w:val="subscript"/>
                <w:lang w:eastAsia="zh-CN"/>
              </w:rPr>
              <w:t>max</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hint="eastAsia" w:eastAsiaTheme="minorEastAsia"/>
                <w:sz w:val="21"/>
                <w:szCs w:val="21"/>
                <w:u w:color="000000"/>
                <w:lang w:eastAsia="zh-CN"/>
              </w:rPr>
              <w:t>达峰时间</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µg</w:t>
            </w:r>
          </w:p>
        </w:tc>
        <w:tc>
          <w:tcPr>
            <w:tcW w:w="6910" w:type="dxa"/>
            <w:tcMar>
              <w:top w:w="28" w:type="dxa"/>
              <w:left w:w="113" w:type="dxa"/>
              <w:bottom w:w="28" w:type="dxa"/>
              <w:right w:w="113" w:type="dxa"/>
            </w:tcMar>
            <w:vAlign w:val="center"/>
          </w:tcPr>
          <w:p>
            <w:pPr>
              <w:widowControl w:val="0"/>
              <w:autoSpaceDE w:val="0"/>
              <w:autoSpaceDN w:val="0"/>
              <w:adjustRightInd w:val="0"/>
              <w:spacing w:line="240" w:lineRule="auto"/>
              <w:ind w:left="0" w:firstLine="0"/>
              <w:contextualSpacing/>
              <w:rPr>
                <w:rFonts w:eastAsiaTheme="minorEastAsia"/>
                <w:sz w:val="21"/>
                <w:szCs w:val="21"/>
                <w:u w:color="000000"/>
                <w:lang w:eastAsia="zh-CN"/>
              </w:rPr>
            </w:pPr>
            <w:r>
              <w:rPr>
                <w:rFonts w:eastAsiaTheme="minorEastAsia"/>
                <w:sz w:val="21"/>
                <w:szCs w:val="21"/>
                <w:u w:color="000000"/>
                <w:lang w:eastAsia="zh-CN"/>
              </w:rPr>
              <w:t>微克</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2189" w:type="dxa"/>
            <w:tcMar>
              <w:top w:w="28" w:type="dxa"/>
              <w:left w:w="113" w:type="dxa"/>
              <w:bottom w:w="28" w:type="dxa"/>
              <w:right w:w="113" w:type="dxa"/>
            </w:tcMa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λ</w:t>
            </w:r>
            <w:r>
              <w:rPr>
                <w:rFonts w:ascii="Times New Roman" w:hAnsi="Times New Roman" w:cs="Times New Roman" w:eastAsiaTheme="minorEastAsia"/>
                <w:b w:val="0"/>
                <w:kern w:val="2"/>
                <w:sz w:val="21"/>
                <w:szCs w:val="21"/>
                <w:vertAlign w:val="subscript"/>
                <w:lang w:val="en-US"/>
              </w:rPr>
              <w:t>z</w:t>
            </w:r>
          </w:p>
        </w:tc>
        <w:tc>
          <w:tcPr>
            <w:tcW w:w="6910" w:type="dxa"/>
            <w:tcMar>
              <w:top w:w="28" w:type="dxa"/>
              <w:left w:w="113" w:type="dxa"/>
              <w:bottom w:w="28" w:type="dxa"/>
              <w:right w:w="113" w:type="dxa"/>
            </w:tcMar>
          </w:tcPr>
          <w:p>
            <w:pPr>
              <w:pStyle w:val="95"/>
              <w:widowControl w:val="0"/>
              <w:tabs>
                <w:tab w:val="left" w:pos="2880"/>
                <w:tab w:val="left" w:pos="8897"/>
              </w:tabs>
              <w:adjustRightInd w:val="0"/>
              <w:spacing w:after="0"/>
              <w:contextualSpacing/>
              <w:jc w:val="both"/>
              <w:rPr>
                <w:rFonts w:ascii="Times New Roman" w:hAnsi="Times New Roman" w:cs="Times New Roman" w:eastAsiaTheme="minorEastAsia"/>
                <w:b w:val="0"/>
                <w:kern w:val="2"/>
                <w:sz w:val="21"/>
                <w:szCs w:val="21"/>
                <w:lang w:val="en-US"/>
              </w:rPr>
            </w:pPr>
            <w:r>
              <w:rPr>
                <w:rFonts w:ascii="Times New Roman" w:hAnsi="Times New Roman" w:cs="Times New Roman" w:eastAsiaTheme="minorEastAsia"/>
                <w:b w:val="0"/>
                <w:kern w:val="2"/>
                <w:sz w:val="21"/>
                <w:szCs w:val="21"/>
                <w:lang w:val="en-US"/>
              </w:rPr>
              <w:t>表观末端消除速率常数</w:t>
            </w:r>
          </w:p>
        </w:tc>
      </w:tr>
    </w:tbl>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1"/>
          <w:szCs w:val="21"/>
          <w:u w:val="single"/>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r>
        <w:rPr>
          <w:rFonts w:ascii="Times New Roman" w:hAnsi="Times New Roman" w:eastAsiaTheme="minorEastAsia"/>
          <w:color w:val="auto"/>
          <w:sz w:val="21"/>
          <w:szCs w:val="21"/>
          <w:u w:val="single"/>
          <w:lang w:eastAsia="zh-CN"/>
        </w:rPr>
        <w:br w:type="page"/>
      </w:r>
      <w:bookmarkStart w:id="10" w:name="_Toc460952477"/>
      <w:bookmarkStart w:id="11" w:name="_Toc31563"/>
      <w:bookmarkStart w:id="12" w:name="_Toc460500082"/>
      <w:bookmarkStart w:id="13" w:name="_Toc17282"/>
      <w:bookmarkStart w:id="14" w:name="_Toc521584530"/>
      <w:bookmarkStart w:id="15" w:name="_Toc446058118"/>
      <w:bookmarkStart w:id="16" w:name="OLE_LINK21"/>
      <w:bookmarkStart w:id="17" w:name="OLE_LINK14"/>
      <w:commentRangeStart w:id="0"/>
      <w:r>
        <w:rPr>
          <w:rFonts w:ascii="Times New Roman" w:hAnsi="Times New Roman" w:eastAsiaTheme="minorEastAsia"/>
          <w:color w:val="auto"/>
          <w:sz w:val="24"/>
          <w:szCs w:val="24"/>
          <w:lang w:val="zh-TW" w:eastAsia="zh-TW"/>
        </w:rPr>
        <w:t>研究背景资料</w:t>
      </w:r>
      <w:commentRangeEnd w:id="0"/>
      <w:bookmarkEnd w:id="10"/>
      <w:bookmarkEnd w:id="11"/>
      <w:bookmarkEnd w:id="12"/>
      <w:bookmarkEnd w:id="13"/>
      <w:bookmarkEnd w:id="14"/>
      <w:r>
        <w:commentReference w:id="0"/>
      </w:r>
    </w:p>
    <w:bookmarkEnd w:id="15"/>
    <w:bookmarkEnd w:id="16"/>
    <w:bookmarkEnd w:id="17"/>
    <w:p>
      <w:pPr>
        <w:pStyle w:val="4"/>
        <w:keepNext w:val="0"/>
        <w:keepLines w:val="0"/>
        <w:widowControl w:val="0"/>
        <w:numPr>
          <w:ilvl w:val="1"/>
          <w:numId w:val="1"/>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CN"/>
        </w:rPr>
      </w:pPr>
      <w:bookmarkStart w:id="18" w:name="_Toc6413"/>
      <w:bookmarkStart w:id="19" w:name="_Toc460500083"/>
      <w:bookmarkStart w:id="20" w:name="_Toc521584531"/>
      <w:bookmarkStart w:id="21" w:name="_Toc15627"/>
      <w:bookmarkStart w:id="22" w:name="_Toc460952478"/>
      <w:r>
        <w:rPr>
          <w:rFonts w:ascii="Times New Roman" w:hAnsi="Times New Roman" w:eastAsiaTheme="minorEastAsia"/>
          <w:sz w:val="24"/>
          <w:szCs w:val="24"/>
          <w:lang w:val="zh-TW"/>
        </w:rPr>
        <w:t>立题依据</w:t>
      </w:r>
      <w:bookmarkEnd w:id="18"/>
      <w:bookmarkEnd w:id="19"/>
      <w:bookmarkEnd w:id="20"/>
      <w:bookmarkEnd w:id="21"/>
      <w:bookmarkEnd w:id="22"/>
    </w:p>
    <w:p>
      <w:pPr>
        <w:ind w:left="0" w:firstLine="480" w:firstLineChars="200"/>
        <w:rPr>
          <w:lang w:eastAsia="zh-CN"/>
        </w:rPr>
      </w:pPr>
      <w:r>
        <w:rPr>
          <w:rFonts w:hint="eastAsia"/>
          <w:lang w:eastAsia="zh-CN"/>
        </w:rPr>
        <w:t>XXXXXX属一种阿拉伯糖类似物，于</w:t>
      </w:r>
      <w:r>
        <w:rPr>
          <w:lang w:eastAsia="zh-CN"/>
        </w:rPr>
        <w:t>1961</w:t>
      </w:r>
      <w:r>
        <w:rPr>
          <w:rFonts w:hint="eastAsia"/>
          <w:lang w:eastAsia="zh-CN"/>
        </w:rPr>
        <w:t>年因具有抑制人型和牛型结核杆菌的作用而被发现。1966年，由日本科研制药株式会社研制的XXXXXX（商品名为</w:t>
      </w:r>
      <w:r>
        <w:rPr>
          <w:rFonts w:hint="eastAsia"/>
          <w:lang w:val="en-US" w:eastAsia="zh-CN"/>
        </w:rPr>
        <w:t>XXXX</w:t>
      </w:r>
      <w:r>
        <w:rPr>
          <w:rFonts w:hint="eastAsia"/>
          <w:lang w:eastAsia="zh-CN"/>
        </w:rPr>
        <w:t>）首先在日本获批上市。此后，其分别于1967年和1981年在美国和中国上市。其药理作用尚未完全阐明，它对结核分枝杆菌具有很强的抗菌活性，可渗入分枝杆菌体内抑制结核分枝杆菌的核酸合成并抑制细胞分裂，从而抑制细菌的繁殖，本品只对生长繁殖期的分枝杆菌有效，与异烟肼、链霉素等其他抗结核药物之间没有交叉耐受性。XXXXXX为世界卫生组织推荐的一线用药，在抗结核药物领域具有极其重要的临床意义</w:t>
      </w:r>
      <w:r>
        <w:rPr>
          <w:rFonts w:hint="eastAsia"/>
          <w:vertAlign w:val="superscript"/>
          <w:lang w:eastAsia="zh-CN"/>
        </w:rPr>
        <w:t>[1]</w:t>
      </w:r>
      <w:r>
        <w:rPr>
          <w:rFonts w:hint="eastAsia"/>
          <w:lang w:eastAsia="zh-CN"/>
        </w:rPr>
        <w:t>。</w:t>
      </w:r>
    </w:p>
    <w:p>
      <w:pPr>
        <w:widowControl w:val="0"/>
        <w:autoSpaceDE w:val="0"/>
        <w:autoSpaceDN w:val="0"/>
        <w:adjustRightInd w:val="0"/>
        <w:ind w:left="0" w:firstLine="480" w:firstLineChars="200"/>
        <w:contextualSpacing/>
        <w:rPr>
          <w:lang w:eastAsia="zh-CN"/>
        </w:rPr>
      </w:pPr>
      <w:r>
        <w:rPr>
          <w:rFonts w:hint="eastAsia"/>
          <w:lang w:eastAsia="zh-CN"/>
        </w:rPr>
        <w:t>XXXXXX</w:t>
      </w:r>
      <w:r>
        <w:rPr>
          <w:lang w:eastAsia="zh-CN"/>
        </w:rPr>
        <w:t>属于抗结核病的一线用药</w:t>
      </w:r>
      <w:r>
        <w:rPr>
          <w:rFonts w:hint="eastAsia"/>
          <w:lang w:eastAsia="zh-CN"/>
        </w:rPr>
        <w:t>，单用时细菌可迅速产生耐药性，适用于与其他抗结核药联合治疗结核杆菌所致的肺结核。亦可用于结核性脑膜炎及非典型分枝杆菌感染的治疗。XXXXXX</w:t>
      </w:r>
      <w:r>
        <w:rPr>
          <w:lang w:eastAsia="zh-CN"/>
        </w:rPr>
        <w:t>常见的不良反应为</w:t>
      </w:r>
      <w:r>
        <w:rPr>
          <w:rFonts w:hint="eastAsia"/>
          <w:lang w:eastAsia="zh-CN"/>
        </w:rPr>
        <w:t>视力模糊、眼痛、红绿色盲或视力减退、视野缩小，</w:t>
      </w:r>
      <w:r>
        <w:rPr>
          <w:lang w:eastAsia="zh-CN"/>
        </w:rPr>
        <w:t>一般能被成人和儿童接受，被认为是安全有效、不良反应发生率较低的</w:t>
      </w:r>
      <w:r>
        <w:rPr>
          <w:rFonts w:hint="eastAsia"/>
          <w:lang w:eastAsia="zh-CN"/>
        </w:rPr>
        <w:t>抗结核</w:t>
      </w:r>
      <w:r>
        <w:rPr>
          <w:lang w:eastAsia="zh-CN"/>
        </w:rPr>
        <w:t>药物</w:t>
      </w:r>
      <w:r>
        <w:rPr>
          <w:rFonts w:hint="eastAsia"/>
          <w:vertAlign w:val="superscript"/>
          <w:lang w:eastAsia="zh-CN"/>
        </w:rPr>
        <w:t>[1]</w:t>
      </w:r>
      <w:r>
        <w:rPr>
          <w:rFonts w:hint="eastAsia"/>
          <w:lang w:eastAsia="zh-CN"/>
        </w:rPr>
        <w:t>。</w:t>
      </w:r>
    </w:p>
    <w:p>
      <w:pPr>
        <w:widowControl w:val="0"/>
        <w:autoSpaceDE w:val="0"/>
        <w:autoSpaceDN w:val="0"/>
        <w:adjustRightInd w:val="0"/>
        <w:ind w:left="0" w:firstLine="480" w:firstLineChars="200"/>
        <w:contextualSpacing/>
        <w:rPr>
          <w:rFonts w:eastAsiaTheme="minorEastAsia"/>
          <w:color w:val="000000"/>
          <w:lang w:eastAsia="zh-CN"/>
        </w:rPr>
      </w:pPr>
      <w:r>
        <w:rPr>
          <w:rFonts w:hint="eastAsia" w:eastAsiaTheme="minorEastAsia"/>
          <w:color w:val="000000"/>
          <w:lang w:eastAsia="zh-CN"/>
        </w:rPr>
        <w:t>根据</w:t>
      </w:r>
      <w:r>
        <w:rPr>
          <w:rFonts w:hint="eastAsia" w:eastAsiaTheme="minorEastAsia"/>
          <w:color w:val="000000"/>
          <w:lang w:val="zh-TW" w:eastAsia="zh-CN"/>
        </w:rPr>
        <w:t>《国务院办公厅关于开展仿制药质量和疗效一致性评价的意见》，XXXXXX</w:t>
      </w:r>
      <w:r>
        <w:rPr>
          <w:rFonts w:hint="eastAsia" w:eastAsiaTheme="minorEastAsia"/>
          <w:color w:val="000000"/>
          <w:lang w:eastAsia="zh-CN"/>
        </w:rPr>
        <w:t>生产</w:t>
      </w:r>
      <w:r>
        <w:rPr>
          <w:rFonts w:eastAsiaTheme="minorEastAsia"/>
          <w:color w:val="000000"/>
          <w:lang w:val="zh-TW" w:eastAsia="zh-CN"/>
        </w:rPr>
        <w:t>的</w:t>
      </w:r>
      <w:r>
        <w:rPr>
          <w:rFonts w:eastAsiaTheme="minorEastAsia"/>
          <w:color w:val="000000"/>
          <w:lang w:val="zh-TW" w:eastAsia="zh-CN"/>
        </w:rPr>
        <w:fldChar w:fldCharType="begin"/>
      </w:r>
      <w:r>
        <w:rPr>
          <w:rFonts w:eastAsiaTheme="minorEastAsia"/>
          <w:color w:val="000000"/>
          <w:lang w:val="zh-TW" w:eastAsia="zh-CN"/>
        </w:rPr>
        <w:instrText xml:space="preserve"> MERGEFIELD T受试制剂 </w:instrText>
      </w:r>
      <w:r>
        <w:rPr>
          <w:rFonts w:eastAsiaTheme="minorEastAsia"/>
          <w:color w:val="000000"/>
          <w:lang w:val="zh-TW" w:eastAsia="zh-CN"/>
        </w:rPr>
        <w:fldChar w:fldCharType="separate"/>
      </w:r>
      <w:r>
        <w:rPr>
          <w:rFonts w:hint="eastAsia" w:eastAsiaTheme="minorEastAsia"/>
          <w:color w:val="000000"/>
          <w:lang w:val="zh-TW" w:eastAsia="zh-CN"/>
        </w:rPr>
        <w:t>XXXXXX</w:t>
      </w:r>
      <w:r>
        <w:rPr>
          <w:rFonts w:eastAsiaTheme="minorEastAsia"/>
          <w:color w:val="000000"/>
          <w:lang w:val="zh-TW" w:eastAsia="zh-CN"/>
        </w:rPr>
        <w:fldChar w:fldCharType="end"/>
      </w:r>
      <w:r>
        <w:rPr>
          <w:rFonts w:eastAsiaTheme="minorEastAsia"/>
          <w:color w:val="000000"/>
          <w:lang w:val="zh-TW" w:eastAsia="zh-CN"/>
        </w:rPr>
        <w:t>（规格：</w:t>
      </w:r>
      <w:r>
        <w:rPr>
          <w:rFonts w:eastAsiaTheme="minorEastAsia"/>
          <w:color w:val="000000"/>
          <w:lang w:val="zh-TW" w:eastAsia="zh-CN"/>
        </w:rPr>
        <w:fldChar w:fldCharType="begin"/>
      </w:r>
      <w:r>
        <w:rPr>
          <w:rFonts w:eastAsiaTheme="minorEastAsia"/>
          <w:color w:val="000000"/>
          <w:lang w:val="zh-TW" w:eastAsia="zh-CN"/>
        </w:rPr>
        <w:instrText xml:space="preserve"> MERGEFIELD T规格 </w:instrText>
      </w:r>
      <w:r>
        <w:rPr>
          <w:rFonts w:eastAsiaTheme="minorEastAsia"/>
          <w:color w:val="000000"/>
          <w:lang w:val="zh-TW" w:eastAsia="zh-CN"/>
        </w:rPr>
        <w:fldChar w:fldCharType="separate"/>
      </w:r>
      <w:r>
        <w:rPr>
          <w:rFonts w:hint="eastAsia" w:eastAsiaTheme="minorEastAsia"/>
          <w:color w:val="000000"/>
          <w:lang w:val="zh-TW" w:eastAsia="zh-CN"/>
        </w:rPr>
        <w:t>XXg</w:t>
      </w:r>
      <w:r>
        <w:rPr>
          <w:rFonts w:eastAsiaTheme="minorEastAsia"/>
          <w:color w:val="000000"/>
          <w:lang w:val="zh-TW" w:eastAsia="zh-CN"/>
        </w:rPr>
        <w:t>/</w:t>
      </w:r>
      <w:r>
        <w:rPr>
          <w:rFonts w:hint="eastAsia" w:eastAsiaTheme="minorEastAsia"/>
          <w:color w:val="000000"/>
          <w:lang w:val="zh-TW" w:eastAsia="zh-CN"/>
        </w:rPr>
        <w:t>片</w:t>
      </w:r>
      <w:r>
        <w:rPr>
          <w:rFonts w:eastAsiaTheme="minorEastAsia"/>
          <w:color w:val="000000"/>
          <w:lang w:val="zh-TW" w:eastAsia="zh-CN"/>
        </w:rPr>
        <w:fldChar w:fldCharType="end"/>
      </w:r>
      <w:r>
        <w:rPr>
          <w:rFonts w:hint="eastAsia" w:eastAsiaTheme="minorEastAsia"/>
          <w:color w:val="000000"/>
          <w:lang w:val="zh-TW" w:eastAsia="zh-CN"/>
        </w:rPr>
        <w:t>，</w:t>
      </w:r>
      <w:r>
        <w:rPr>
          <w:rFonts w:hint="eastAsia" w:eastAsiaTheme="minorEastAsia"/>
          <w:color w:val="000000"/>
          <w:lang w:eastAsia="zh-CN"/>
        </w:rPr>
        <w:t>国药准字</w:t>
      </w:r>
      <w:r>
        <w:rPr>
          <w:rFonts w:eastAsiaTheme="minorEastAsia"/>
          <w:color w:val="000000"/>
          <w:lang w:eastAsia="zh-TW"/>
        </w:rPr>
        <w:t>H44020250</w:t>
      </w:r>
      <w:r>
        <w:rPr>
          <w:rFonts w:eastAsiaTheme="minorEastAsia"/>
          <w:color w:val="000000"/>
          <w:lang w:val="zh-TW" w:eastAsia="zh-CN"/>
        </w:rPr>
        <w:t>）</w:t>
      </w:r>
      <w:r>
        <w:rPr>
          <w:rFonts w:hint="eastAsia" w:eastAsiaTheme="minorEastAsia"/>
          <w:color w:val="000000"/>
          <w:lang w:eastAsia="zh-CN"/>
        </w:rPr>
        <w:t>拟与原研参比制剂，</w:t>
      </w:r>
      <w:r>
        <w:rPr>
          <w:rFonts w:hint="eastAsia"/>
          <w:color w:val="000000"/>
          <w:lang w:eastAsia="zh-CN" w:bidi="ar"/>
        </w:rPr>
        <w:t>XXXXXX</w:t>
      </w:r>
      <w:r>
        <w:rPr>
          <w:rFonts w:eastAsiaTheme="minorEastAsia"/>
          <w:lang w:eastAsia="zh-CN"/>
        </w:rPr>
        <w:t>生产</w:t>
      </w:r>
      <w:r>
        <w:rPr>
          <w:rFonts w:hint="eastAsia" w:eastAsiaTheme="minorEastAsia"/>
          <w:lang w:eastAsia="zh-CN"/>
        </w:rPr>
        <w:t>的XXXXXX（规格：XXg/片，</w:t>
      </w:r>
      <w:r>
        <w:rPr>
          <w:rFonts w:eastAsiaTheme="minorEastAsia"/>
          <w:lang w:eastAsia="zh-CN"/>
        </w:rPr>
        <w:t>商品名：</w:t>
      </w:r>
      <w:r>
        <w:rPr>
          <w:rFonts w:hint="eastAsia"/>
          <w:color w:val="000000"/>
          <w:lang w:eastAsia="zh-CN" w:bidi="ar"/>
        </w:rPr>
        <w:t>XXX</w:t>
      </w:r>
      <w:r>
        <w:rPr>
          <w:rFonts w:hint="eastAsia" w:eastAsiaTheme="minorEastAsia"/>
          <w:lang w:eastAsia="zh-CN"/>
        </w:rPr>
        <w:t>）开展质量和疗效一致性评价</w:t>
      </w:r>
      <w:r>
        <w:rPr>
          <w:rFonts w:eastAsiaTheme="minorEastAsia"/>
          <w:color w:val="000000"/>
          <w:lang w:eastAsia="zh-CN"/>
        </w:rPr>
        <w:t>。</w:t>
      </w:r>
    </w:p>
    <w:p>
      <w:pPr>
        <w:widowControl w:val="0"/>
        <w:autoSpaceDE w:val="0"/>
        <w:autoSpaceDN w:val="0"/>
        <w:adjustRightInd w:val="0"/>
        <w:ind w:left="0" w:firstLine="480" w:firstLineChars="200"/>
        <w:contextualSpacing/>
        <w:rPr>
          <w:color w:val="000000"/>
          <w:lang w:val="zh-TW" w:eastAsia="zh-CN"/>
        </w:rPr>
      </w:pPr>
      <w:r>
        <w:rPr>
          <w:rFonts w:hint="eastAsia" w:eastAsiaTheme="minorEastAsia"/>
          <w:color w:val="000000"/>
          <w:lang w:val="zh-TW" w:eastAsia="zh-CN"/>
        </w:rPr>
        <w:t>为了考察</w:t>
      </w:r>
      <w:r>
        <w:rPr>
          <w:rFonts w:hint="eastAsia" w:eastAsiaTheme="minorEastAsia"/>
          <w:color w:val="000000"/>
          <w:lang w:eastAsia="zh-CN"/>
        </w:rPr>
        <w:t>空腹和</w:t>
      </w:r>
      <w:r>
        <w:rPr>
          <w:rFonts w:hint="eastAsia" w:eastAsiaTheme="minorEastAsia"/>
          <w:color w:val="000000"/>
          <w:lang w:val="zh-TW" w:eastAsia="zh-CN"/>
        </w:rPr>
        <w:t>餐后条件下受试制剂与参比制剂在健康受试者体内的药代动力学参数，</w:t>
      </w:r>
      <w:r>
        <w:rPr>
          <w:rFonts w:hint="eastAsia" w:eastAsiaTheme="minorEastAsia"/>
          <w:color w:val="000000"/>
          <w:lang w:eastAsia="zh-CN"/>
        </w:rPr>
        <w:t>评价两制剂的生物等效性和安全性</w:t>
      </w:r>
      <w:r>
        <w:rPr>
          <w:rFonts w:hint="eastAsia" w:eastAsiaTheme="minorEastAsia"/>
          <w:color w:val="000000"/>
          <w:lang w:val="zh-TW" w:eastAsia="zh-CN"/>
        </w:rPr>
        <w:t>。</w:t>
      </w:r>
      <w:r>
        <w:rPr>
          <w:color w:val="000000"/>
          <w:lang w:val="zh-TW" w:eastAsia="zh-CN"/>
        </w:rPr>
        <w:t>本</w:t>
      </w:r>
      <w:r>
        <w:rPr>
          <w:color w:val="000000"/>
          <w:lang w:eastAsia="zh-CN"/>
        </w:rPr>
        <w:t>试验</w:t>
      </w:r>
      <w:r>
        <w:rPr>
          <w:color w:val="000000"/>
          <w:lang w:val="zh-TW" w:eastAsia="zh-CN"/>
        </w:rPr>
        <w:t>设计</w:t>
      </w:r>
      <w:r>
        <w:rPr>
          <w:color w:val="000000"/>
          <w:lang w:eastAsia="zh-CN"/>
        </w:rPr>
        <w:t>为</w:t>
      </w:r>
      <w:r>
        <w:rPr>
          <w:color w:val="000000"/>
          <w:lang w:val="zh-TW" w:eastAsia="zh-CN"/>
        </w:rPr>
        <w:t>空腹和餐后</w:t>
      </w:r>
      <w:bookmarkStart w:id="23" w:name="_Hlk502496312"/>
      <w:r>
        <w:rPr>
          <w:color w:val="000000"/>
          <w:lang w:val="zh-TW" w:eastAsia="zh-CN"/>
        </w:rPr>
        <w:t>状态下</w:t>
      </w:r>
      <w:bookmarkEnd w:id="23"/>
      <w:r>
        <w:rPr>
          <w:color w:val="000000"/>
          <w:lang w:val="zh-TW" w:eastAsia="zh-CN"/>
        </w:rPr>
        <w:t>，</w:t>
      </w:r>
      <w:r>
        <w:rPr>
          <w:color w:val="000000"/>
          <w:lang w:eastAsia="zh-CN"/>
        </w:rPr>
        <w:t>进行</w:t>
      </w:r>
      <w:r>
        <w:rPr>
          <w:color w:val="000000"/>
          <w:lang w:val="zh-TW" w:eastAsia="zh-CN"/>
        </w:rPr>
        <w:t>两制剂、两周期、两序列、随机交叉的人体生物等效性</w:t>
      </w:r>
      <w:r>
        <w:rPr>
          <w:rFonts w:hint="eastAsia"/>
          <w:color w:val="000000"/>
          <w:lang w:val="zh-TW" w:eastAsia="zh-CN"/>
        </w:rPr>
        <w:t>试验</w:t>
      </w:r>
      <w:r>
        <w:rPr>
          <w:color w:val="000000"/>
          <w:lang w:val="zh-TW" w:eastAsia="zh-CN"/>
        </w:rPr>
        <w:t>，</w:t>
      </w:r>
      <w:r>
        <w:rPr>
          <w:rFonts w:hint="eastAsia"/>
          <w:color w:val="000000"/>
          <w:lang w:eastAsia="zh-CN"/>
        </w:rPr>
        <w:t>在得到</w:t>
      </w:r>
      <w:r>
        <w:rPr>
          <w:color w:val="000000"/>
          <w:lang w:val="zh-TW" w:eastAsia="zh-CN"/>
        </w:rPr>
        <w:fldChar w:fldCharType="begin"/>
      </w:r>
      <w:r>
        <w:rPr>
          <w:color w:val="000000"/>
          <w:lang w:val="zh-TW" w:eastAsia="zh-CN"/>
        </w:rPr>
        <w:instrText xml:space="preserve"> MERGEFIELD 机构 </w:instrText>
      </w:r>
      <w:r>
        <w:rPr>
          <w:color w:val="000000"/>
          <w:lang w:val="zh-TW" w:eastAsia="zh-CN"/>
        </w:rPr>
        <w:fldChar w:fldCharType="separate"/>
      </w:r>
      <w:r>
        <w:rPr>
          <w:rFonts w:hint="eastAsia"/>
          <w:color w:val="000000"/>
          <w:lang w:val="zh-TW" w:eastAsia="zh-CN"/>
        </w:rPr>
        <w:t>广州市番禺区中心医院</w:t>
      </w:r>
      <w:r>
        <w:rPr>
          <w:color w:val="000000"/>
          <w:lang w:val="zh-TW" w:eastAsia="zh-CN"/>
        </w:rPr>
        <w:fldChar w:fldCharType="end"/>
      </w:r>
      <w:r>
        <w:rPr>
          <w:rFonts w:hint="eastAsia"/>
          <w:color w:val="000000"/>
          <w:lang w:val="zh-TW" w:eastAsia="zh-CN"/>
        </w:rPr>
        <w:t>药物临床试验</w:t>
      </w:r>
      <w:r>
        <w:rPr>
          <w:color w:val="000000"/>
          <w:lang w:val="zh-TW" w:eastAsia="zh-CN"/>
        </w:rPr>
        <w:t>伦理</w:t>
      </w:r>
      <w:r>
        <w:rPr>
          <w:color w:val="000000"/>
          <w:lang w:eastAsia="zh-CN"/>
        </w:rPr>
        <w:t>委员会</w:t>
      </w:r>
      <w:r>
        <w:rPr>
          <w:color w:val="000000"/>
          <w:lang w:val="zh-TW" w:eastAsia="zh-CN"/>
        </w:rPr>
        <w:t>批准后，由</w:t>
      </w:r>
      <w:r>
        <w:rPr>
          <w:color w:val="000000"/>
          <w:lang w:val="zh-TW" w:eastAsia="zh-CN"/>
        </w:rPr>
        <w:fldChar w:fldCharType="begin"/>
      </w:r>
      <w:r>
        <w:rPr>
          <w:color w:val="000000"/>
          <w:lang w:val="zh-TW" w:eastAsia="zh-CN"/>
        </w:rPr>
        <w:instrText xml:space="preserve"> MERGEFIELD 机构 </w:instrText>
      </w:r>
      <w:r>
        <w:rPr>
          <w:color w:val="000000"/>
          <w:lang w:val="zh-TW" w:eastAsia="zh-CN"/>
        </w:rPr>
        <w:fldChar w:fldCharType="separate"/>
      </w:r>
      <w:r>
        <w:rPr>
          <w:rFonts w:hint="eastAsia"/>
          <w:color w:val="000000"/>
          <w:lang w:val="zh-TW" w:eastAsia="zh-CN"/>
        </w:rPr>
        <w:t>广州市番禺区中心医院</w:t>
      </w:r>
      <w:r>
        <w:rPr>
          <w:color w:val="000000"/>
          <w:lang w:val="zh-TW" w:eastAsia="zh-CN"/>
        </w:rPr>
        <w:fldChar w:fldCharType="end"/>
      </w:r>
      <w:r>
        <w:rPr>
          <w:color w:val="000000"/>
          <w:lang w:val="zh-TW" w:eastAsia="zh-CN"/>
        </w:rPr>
        <w:t>I期临床研究</w:t>
      </w:r>
      <w:r>
        <w:rPr>
          <w:rFonts w:hint="eastAsia"/>
          <w:color w:val="000000"/>
          <w:lang w:eastAsia="zh-CN"/>
        </w:rPr>
        <w:t>中心</w:t>
      </w:r>
      <w:r>
        <w:rPr>
          <w:color w:val="000000"/>
          <w:lang w:val="zh-TW" w:eastAsia="zh-CN"/>
        </w:rPr>
        <w:t>负责实施。</w:t>
      </w:r>
    </w:p>
    <w:p>
      <w:pPr>
        <w:pStyle w:val="4"/>
        <w:keepNext w:val="0"/>
        <w:keepLines w:val="0"/>
        <w:widowControl w:val="0"/>
        <w:numPr>
          <w:ilvl w:val="1"/>
          <w:numId w:val="1"/>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CN"/>
        </w:rPr>
      </w:pPr>
      <w:bookmarkStart w:id="24" w:name="_Toc11243"/>
      <w:bookmarkStart w:id="25" w:name="_Toc460500084"/>
      <w:bookmarkStart w:id="26" w:name="_Toc521584532"/>
      <w:bookmarkStart w:id="27" w:name="_Toc460952479"/>
      <w:bookmarkStart w:id="28" w:name="_Toc15014"/>
      <w:r>
        <w:rPr>
          <w:rFonts w:ascii="Times New Roman" w:hAnsi="Times New Roman" w:eastAsiaTheme="minorEastAsia"/>
          <w:sz w:val="24"/>
          <w:szCs w:val="24"/>
          <w:lang w:val="zh-TW" w:eastAsia="zh-CN"/>
        </w:rPr>
        <w:t>试验用药临床应用</w:t>
      </w:r>
      <w:bookmarkEnd w:id="24"/>
      <w:bookmarkEnd w:id="25"/>
      <w:r>
        <w:rPr>
          <w:rFonts w:ascii="Times New Roman" w:hAnsi="Times New Roman" w:eastAsiaTheme="minorEastAsia"/>
          <w:sz w:val="24"/>
          <w:szCs w:val="24"/>
          <w:lang w:val="zh-TW" w:eastAsia="zh-CN"/>
        </w:rPr>
        <w:t>情况</w:t>
      </w:r>
      <w:bookmarkEnd w:id="26"/>
      <w:bookmarkEnd w:id="27"/>
      <w:bookmarkEnd w:id="28"/>
    </w:p>
    <w:p>
      <w:pPr>
        <w:pStyle w:val="49"/>
        <w:keepNext w:val="0"/>
        <w:keepLines w:val="0"/>
        <w:numPr>
          <w:ilvl w:val="2"/>
          <w:numId w:val="1"/>
        </w:numPr>
        <w:autoSpaceDE w:val="0"/>
        <w:autoSpaceDN w:val="0"/>
        <w:adjustRightInd w:val="0"/>
        <w:ind w:left="0" w:firstLine="0"/>
        <w:contextualSpacing/>
        <w:outlineLvl w:val="2"/>
        <w:rPr>
          <w:rFonts w:eastAsiaTheme="minorEastAsia"/>
          <w:lang w:val="zh-TW"/>
        </w:rPr>
      </w:pPr>
      <w:bookmarkStart w:id="29" w:name="_Toc521584533"/>
      <w:bookmarkStart w:id="30" w:name="_Toc30163"/>
      <w:bookmarkStart w:id="31" w:name="_Toc460500085"/>
      <w:bookmarkStart w:id="32" w:name="_Toc1953"/>
      <w:r>
        <w:rPr>
          <w:rFonts w:eastAsiaTheme="minorEastAsia"/>
          <w:lang w:val="zh-TW"/>
        </w:rPr>
        <w:t>作用机制</w:t>
      </w:r>
      <w:bookmarkEnd w:id="29"/>
      <w:bookmarkEnd w:id="30"/>
      <w:bookmarkEnd w:id="31"/>
      <w:r>
        <w:rPr>
          <w:rFonts w:hint="eastAsia"/>
          <w:vertAlign w:val="superscript"/>
        </w:rPr>
        <w:t>[1]</w:t>
      </w:r>
      <w:bookmarkEnd w:id="32"/>
    </w:p>
    <w:p>
      <w:pPr>
        <w:ind w:leftChars="100" w:hanging="480" w:hangingChars="200"/>
        <w:rPr>
          <w:lang w:eastAsia="zh-CN"/>
        </w:rPr>
      </w:pPr>
      <w:bookmarkStart w:id="33" w:name="_Toc460500086"/>
      <w:bookmarkStart w:id="34" w:name="_Toc521584534"/>
      <w:bookmarkStart w:id="35" w:name="_Toc31688"/>
      <w:r>
        <w:rPr>
          <w:rFonts w:hint="eastAsia"/>
          <w:lang w:eastAsia="zh-CN"/>
        </w:rPr>
        <w:t>XXXXXX为合成抑菌抗结核药，其作用机理尚未完全阐明，可渗入分枝杆菌体</w:t>
      </w:r>
    </w:p>
    <w:p>
      <w:pPr>
        <w:ind w:left="0" w:firstLine="0"/>
        <w:rPr>
          <w:lang w:eastAsia="zh-CN"/>
        </w:rPr>
      </w:pPr>
      <w:r>
        <w:rPr>
          <w:rFonts w:hint="eastAsia"/>
          <w:lang w:eastAsia="zh-CN"/>
        </w:rPr>
        <w:t>内干扰</w:t>
      </w:r>
      <w:r>
        <w:rPr>
          <w:lang w:eastAsia="zh-CN"/>
        </w:rPr>
        <w:t>RNA</w:t>
      </w:r>
      <w:r>
        <w:rPr>
          <w:rFonts w:hint="eastAsia"/>
          <w:lang w:eastAsia="zh-CN"/>
        </w:rPr>
        <w:t>的合成，从而抑制细菌的繁殖，本品只对生长繁殖期的分枝杆菌有效，</w:t>
      </w:r>
    </w:p>
    <w:p>
      <w:pPr>
        <w:ind w:left="0" w:firstLine="0"/>
        <w:rPr>
          <w:lang w:eastAsia="zh-CN"/>
        </w:rPr>
      </w:pPr>
      <w:r>
        <w:rPr>
          <w:lang w:eastAsia="zh-CN"/>
        </w:rPr>
        <w:t>且与</w:t>
      </w:r>
      <w:r>
        <w:rPr>
          <w:rFonts w:hint="eastAsia"/>
          <w:lang w:eastAsia="zh-CN"/>
        </w:rPr>
        <w:t>异烟肼，链霉素等其他抗结核药物之间没有交叉耐受性。</w:t>
      </w:r>
    </w:p>
    <w:p>
      <w:pPr>
        <w:ind w:leftChars="200" w:hanging="240" w:hangingChars="100"/>
        <w:rPr>
          <w:lang w:eastAsia="zh-CN"/>
        </w:rPr>
      </w:pPr>
      <w:r>
        <w:rPr>
          <w:rFonts w:hint="eastAsia"/>
          <w:lang w:eastAsia="zh-CN"/>
        </w:rPr>
        <w:t>XXXXXX对增殖的抗酸细菌起到抑菌作用，其作用机制被认为如下：</w:t>
      </w:r>
    </w:p>
    <w:p>
      <w:pPr>
        <w:ind w:leftChars="200" w:hanging="240" w:hangingChars="100"/>
        <w:rPr>
          <w:lang w:eastAsia="zh-CN"/>
        </w:rPr>
      </w:pPr>
      <w:r>
        <w:rPr>
          <w:rFonts w:hint="eastAsia"/>
          <w:lang w:eastAsia="zh-CN"/>
        </w:rPr>
        <w:t>1）通过核酸合成抑制抑制细胞分裂；</w:t>
      </w:r>
    </w:p>
    <w:p>
      <w:pPr>
        <w:ind w:leftChars="200" w:hanging="240" w:hangingChars="100"/>
        <w:rPr>
          <w:lang w:eastAsia="zh-CN"/>
        </w:rPr>
      </w:pPr>
      <w:r>
        <w:rPr>
          <w:rFonts w:hint="eastAsia"/>
          <w:lang w:eastAsia="zh-CN"/>
        </w:rPr>
        <w:t>2）抑制阿拉伯糖基转移酶催化阿拉伯聚糖在构成分枝杆菌细胞壁的阿拉伯半乳聚</w:t>
      </w:r>
    </w:p>
    <w:p>
      <w:r>
        <w:rPr>
          <w:rFonts w:hint="eastAsia"/>
        </w:rPr>
        <w:t>糖和脂阿拉伯甘露聚糖中的聚合。</w:t>
      </w:r>
    </w:p>
    <w:p>
      <w:pPr>
        <w:pStyle w:val="49"/>
        <w:keepNext w:val="0"/>
        <w:keepLines w:val="0"/>
        <w:numPr>
          <w:ilvl w:val="2"/>
          <w:numId w:val="1"/>
        </w:numPr>
        <w:autoSpaceDE w:val="0"/>
        <w:autoSpaceDN w:val="0"/>
        <w:adjustRightInd w:val="0"/>
        <w:ind w:left="0" w:firstLine="0"/>
        <w:contextualSpacing/>
        <w:outlineLvl w:val="2"/>
        <w:rPr>
          <w:rFonts w:eastAsiaTheme="minorEastAsia"/>
          <w:lang w:val="zh-TW"/>
        </w:rPr>
      </w:pPr>
      <w:bookmarkStart w:id="36" w:name="_Toc506"/>
      <w:r>
        <w:rPr>
          <w:rFonts w:eastAsiaTheme="minorEastAsia"/>
          <w:lang w:val="zh-TW"/>
        </w:rPr>
        <w:t>临床适应症</w:t>
      </w:r>
      <w:bookmarkEnd w:id="33"/>
      <w:bookmarkEnd w:id="34"/>
      <w:bookmarkEnd w:id="35"/>
      <w:r>
        <w:rPr>
          <w:rFonts w:hint="eastAsia"/>
          <w:vertAlign w:val="superscript"/>
        </w:rPr>
        <w:t>[1]</w:t>
      </w:r>
      <w:bookmarkEnd w:id="36"/>
    </w:p>
    <w:p>
      <w:pPr>
        <w:ind w:leftChars="200" w:hanging="240" w:hangingChars="100"/>
        <w:rPr>
          <w:lang w:eastAsia="zh-CN"/>
        </w:rPr>
      </w:pPr>
      <w:bookmarkStart w:id="37" w:name="_Toc521584535"/>
      <w:r>
        <w:rPr>
          <w:rFonts w:hint="eastAsia"/>
          <w:lang w:eastAsia="zh-CN"/>
        </w:rPr>
        <w:t>适用于与其他抗结核药联合治疗结核杆菌所致的肺结核。亦可用于结核性脑膜炎</w:t>
      </w:r>
    </w:p>
    <w:p>
      <w:pPr>
        <w:rPr>
          <w:lang w:eastAsia="zh-CN"/>
        </w:rPr>
      </w:pPr>
      <w:r>
        <w:rPr>
          <w:rFonts w:hint="eastAsia"/>
          <w:lang w:eastAsia="zh-CN"/>
        </w:rPr>
        <w:t>及非典型分枝杆菌感染的治疗。</w:t>
      </w:r>
    </w:p>
    <w:p>
      <w:pPr>
        <w:pStyle w:val="49"/>
        <w:keepNext w:val="0"/>
        <w:keepLines w:val="0"/>
        <w:numPr>
          <w:ilvl w:val="2"/>
          <w:numId w:val="1"/>
        </w:numPr>
        <w:autoSpaceDE w:val="0"/>
        <w:autoSpaceDN w:val="0"/>
        <w:adjustRightInd w:val="0"/>
        <w:ind w:left="0" w:firstLine="0"/>
        <w:contextualSpacing/>
        <w:outlineLvl w:val="2"/>
        <w:rPr>
          <w:rFonts w:eastAsiaTheme="minorEastAsia"/>
          <w:lang w:val="zh-TW"/>
        </w:rPr>
      </w:pPr>
      <w:bookmarkStart w:id="38" w:name="_Toc5892"/>
      <w:r>
        <w:rPr>
          <w:rFonts w:eastAsiaTheme="minorEastAsia"/>
          <w:lang w:val="zh-TW"/>
        </w:rPr>
        <w:t>临床用法用量</w:t>
      </w:r>
      <w:bookmarkEnd w:id="37"/>
      <w:r>
        <w:rPr>
          <w:rFonts w:hint="eastAsia"/>
          <w:vertAlign w:val="superscript"/>
        </w:rPr>
        <w:t>[1]</w:t>
      </w:r>
      <w:bookmarkEnd w:id="38"/>
    </w:p>
    <w:p>
      <w:pPr>
        <w:ind w:left="240" w:leftChars="100" w:firstLine="240" w:firstLineChars="100"/>
        <w:rPr>
          <w:lang w:eastAsia="zh-CN"/>
        </w:rPr>
      </w:pPr>
      <w:bookmarkStart w:id="39" w:name="_Toc460500087"/>
      <w:bookmarkStart w:id="40" w:name="_Toc15698"/>
      <w:bookmarkStart w:id="41" w:name="_Toc521584536"/>
      <w:r>
        <w:rPr>
          <w:rFonts w:hint="eastAsia"/>
          <w:lang w:eastAsia="zh-CN"/>
        </w:rPr>
        <w:t>成人常用量：与其他抗结核药合用，结核初治，按体重</w:t>
      </w:r>
      <w:r>
        <w:rPr>
          <w:lang w:eastAsia="zh-CN"/>
        </w:rPr>
        <w:t>15mg/kg</w:t>
      </w:r>
      <w:r>
        <w:rPr>
          <w:rFonts w:hint="eastAsia"/>
          <w:lang w:eastAsia="zh-CN"/>
        </w:rPr>
        <w:t>，每日一次顿</w:t>
      </w:r>
    </w:p>
    <w:p>
      <w:pPr>
        <w:ind w:left="0" w:firstLine="0"/>
      </w:pPr>
      <w:r>
        <w:rPr>
          <w:rFonts w:hint="eastAsia"/>
        </w:rPr>
        <w:t>服；或每次口服</w:t>
      </w:r>
      <w:r>
        <w:t>25</w:t>
      </w:r>
      <w:r>
        <w:rPr>
          <w:rFonts w:hint="eastAsia"/>
        </w:rPr>
        <w:t>～</w:t>
      </w:r>
      <w:r>
        <w:t>30mg/kg</w:t>
      </w:r>
      <w:r>
        <w:rPr>
          <w:rFonts w:hint="eastAsia"/>
        </w:rPr>
        <w:t>，最高</w:t>
      </w:r>
      <w:r>
        <w:t>2.5g</w:t>
      </w:r>
      <w:r>
        <w:rPr>
          <w:rFonts w:hint="eastAsia"/>
        </w:rPr>
        <w:t>，每周</w:t>
      </w:r>
      <w:r>
        <w:t>3</w:t>
      </w:r>
      <w:r>
        <w:rPr>
          <w:rFonts w:hint="eastAsia"/>
        </w:rPr>
        <w:t>次；或</w:t>
      </w:r>
      <w:r>
        <w:t>50mg/kg</w:t>
      </w:r>
      <w:r>
        <w:rPr>
          <w:rFonts w:hint="eastAsia"/>
        </w:rPr>
        <w:t>，最高</w:t>
      </w:r>
      <w:r>
        <w:t>2.5g</w:t>
      </w:r>
      <w:r>
        <w:rPr>
          <w:rFonts w:hint="eastAsia"/>
        </w:rPr>
        <w:t>，每周</w:t>
      </w:r>
      <w:r>
        <w:t>2</w:t>
      </w:r>
      <w:r>
        <w:rPr>
          <w:rFonts w:hint="eastAsia"/>
        </w:rPr>
        <w:t>次。</w:t>
      </w:r>
      <w:r>
        <w:rPr>
          <w:rFonts w:hint="eastAsia"/>
          <w:lang w:eastAsia="zh-CN"/>
        </w:rPr>
        <w:t>结核复治，按体重</w:t>
      </w:r>
      <w:r>
        <w:rPr>
          <w:lang w:eastAsia="zh-CN"/>
        </w:rPr>
        <w:t>25mg/kg</w:t>
      </w:r>
      <w:r>
        <w:rPr>
          <w:rFonts w:hint="eastAsia"/>
          <w:lang w:eastAsia="zh-CN"/>
        </w:rPr>
        <w:t>，每日一次顿服，连续</w:t>
      </w:r>
      <w:r>
        <w:rPr>
          <w:lang w:eastAsia="zh-CN"/>
        </w:rPr>
        <w:t>60</w:t>
      </w:r>
      <w:r>
        <w:rPr>
          <w:rFonts w:hint="eastAsia"/>
          <w:lang w:eastAsia="zh-CN"/>
        </w:rPr>
        <w:t>天，继以按体重</w:t>
      </w:r>
      <w:r>
        <w:rPr>
          <w:lang w:eastAsia="zh-CN"/>
        </w:rPr>
        <w:t>15mg/kg</w:t>
      </w:r>
      <w:r>
        <w:rPr>
          <w:rFonts w:hint="eastAsia"/>
          <w:lang w:eastAsia="zh-CN"/>
        </w:rPr>
        <w:t>，每日一次顿服。</w:t>
      </w:r>
      <w:r>
        <w:rPr>
          <w:rFonts w:hint="eastAsia"/>
        </w:rPr>
        <w:t>非典型分枝杆菌感染，每日</w:t>
      </w:r>
      <w:r>
        <w:t>15</w:t>
      </w:r>
      <w:r>
        <w:rPr>
          <w:rFonts w:hint="eastAsia"/>
        </w:rPr>
        <w:t>～</w:t>
      </w:r>
      <w:r>
        <w:t>25mg/kg</w:t>
      </w:r>
      <w:r>
        <w:rPr>
          <w:rFonts w:hint="eastAsia"/>
        </w:rPr>
        <w:t>，一次顿服；</w:t>
      </w:r>
      <w:r>
        <w:t xml:space="preserve"> </w:t>
      </w:r>
    </w:p>
    <w:p>
      <w:pPr>
        <w:ind w:leftChars="200" w:hanging="240" w:hangingChars="100"/>
        <w:rPr>
          <w:lang w:eastAsia="zh-CN"/>
        </w:rPr>
      </w:pPr>
      <w:r>
        <w:t xml:space="preserve"> </w:t>
      </w:r>
      <w:r>
        <w:rPr>
          <w:rFonts w:hint="eastAsia"/>
          <w:lang w:eastAsia="zh-CN"/>
        </w:rPr>
        <w:t>小儿常用量：</w:t>
      </w:r>
      <w:r>
        <w:rPr>
          <w:lang w:eastAsia="zh-CN"/>
        </w:rPr>
        <w:t xml:space="preserve"> 13</w:t>
      </w:r>
      <w:r>
        <w:rPr>
          <w:rFonts w:hint="eastAsia"/>
          <w:lang w:eastAsia="zh-CN"/>
        </w:rPr>
        <w:t>岁以下不宜应用本品；</w:t>
      </w:r>
      <w:r>
        <w:rPr>
          <w:lang w:eastAsia="zh-CN"/>
        </w:rPr>
        <w:t>13</w:t>
      </w:r>
      <w:r>
        <w:rPr>
          <w:rFonts w:hint="eastAsia"/>
          <w:lang w:eastAsia="zh-CN"/>
        </w:rPr>
        <w:t>岁以上儿童用量与成人相同。　</w:t>
      </w:r>
    </w:p>
    <w:p>
      <w:pPr>
        <w:pStyle w:val="49"/>
        <w:keepNext w:val="0"/>
        <w:keepLines w:val="0"/>
        <w:numPr>
          <w:ilvl w:val="0"/>
          <w:numId w:val="0"/>
        </w:numPr>
        <w:autoSpaceDE w:val="0"/>
        <w:autoSpaceDN w:val="0"/>
        <w:adjustRightInd w:val="0"/>
        <w:ind w:leftChars="0"/>
        <w:contextualSpacing/>
        <w:outlineLvl w:val="2"/>
        <w:rPr>
          <w:rFonts w:eastAsiaTheme="minorEastAsia"/>
          <w:vertAlign w:val="superscript"/>
        </w:rPr>
      </w:pPr>
      <w:bookmarkStart w:id="42" w:name="_Toc5079"/>
      <w:r>
        <w:rPr>
          <w:rFonts w:hint="eastAsia" w:eastAsiaTheme="minorEastAsia"/>
          <w:lang w:val="en-US" w:eastAsia="zh-CN"/>
        </w:rPr>
        <w:t xml:space="preserve">1.2.4   </w:t>
      </w:r>
      <w:r>
        <w:rPr>
          <w:rFonts w:hint="eastAsia" w:eastAsiaTheme="minorEastAsia"/>
        </w:rPr>
        <w:t>主要</w:t>
      </w:r>
      <w:r>
        <w:rPr>
          <w:rFonts w:eastAsiaTheme="minorEastAsia"/>
          <w:lang w:val="zh-TW"/>
        </w:rPr>
        <w:t>不良反应</w:t>
      </w:r>
      <w:bookmarkEnd w:id="39"/>
      <w:bookmarkEnd w:id="40"/>
      <w:bookmarkEnd w:id="41"/>
      <w:r>
        <w:rPr>
          <w:rFonts w:hint="eastAsia" w:eastAsiaTheme="minorEastAsia"/>
          <w:vertAlign w:val="superscript"/>
          <w:lang w:val="en-US" w:eastAsia="zh-CN"/>
        </w:rPr>
        <w:t>[1～2]</w:t>
      </w:r>
      <w:bookmarkEnd w:id="42"/>
    </w:p>
    <w:p>
      <w:pPr>
        <w:ind w:left="0" w:firstLine="480" w:firstLineChars="200"/>
        <w:rPr>
          <w:lang w:eastAsia="zh-CN"/>
        </w:rPr>
      </w:pPr>
      <w:bookmarkStart w:id="43" w:name="_Toc521584537"/>
      <w:r>
        <w:rPr>
          <w:rFonts w:hint="eastAsia"/>
          <w:lang w:eastAsia="zh-CN"/>
        </w:rPr>
        <w:t>1. 发生率较多者为视力模糊、眼痛、 红绿色盲或视力减退、视野缩小（视神经炎每日按体重剂量25mg/kg以上时易发生），视力变化可为单侧或双侧。</w:t>
      </w:r>
      <w:r>
        <w:rPr>
          <w:lang w:eastAsia="zh-CN"/>
        </w:rPr>
        <w:br w:type="textWrapping"/>
      </w:r>
      <w:r>
        <w:rPr>
          <w:lang w:eastAsia="zh-CN"/>
        </w:rPr>
        <w:t>　　2</w:t>
      </w:r>
      <w:r>
        <w:rPr>
          <w:rFonts w:hint="eastAsia"/>
          <w:lang w:eastAsia="zh-CN"/>
        </w:rPr>
        <w:t xml:space="preserve">. </w:t>
      </w:r>
      <w:r>
        <w:rPr>
          <w:lang w:eastAsia="zh-CN"/>
        </w:rPr>
        <w:t>发生率较少者为畏寒、关节肿痛 (尤其大趾、髁、膝关节）、病变关节表面皮肤发热拉紧感（急性痛风、高尿酸血症）；</w:t>
      </w:r>
      <w:r>
        <w:rPr>
          <w:lang w:eastAsia="zh-CN"/>
        </w:rPr>
        <w:br w:type="textWrapping"/>
      </w:r>
      <w:r>
        <w:rPr>
          <w:lang w:eastAsia="zh-CN"/>
        </w:rPr>
        <w:t>　　3</w:t>
      </w:r>
      <w:r>
        <w:rPr>
          <w:rFonts w:hint="eastAsia"/>
          <w:lang w:eastAsia="zh-CN"/>
        </w:rPr>
        <w:t xml:space="preserve">. </w:t>
      </w:r>
      <w:r>
        <w:rPr>
          <w:lang w:eastAsia="zh-CN"/>
        </w:rPr>
        <w:t>发生率极少者为皮疹、发热、关 节痛等过敏反应；或麻木，针刺感、烧 灼痛或手足软弱无力（周围神经炎）</w:t>
      </w:r>
      <w:r>
        <w:rPr>
          <w:rFonts w:hint="eastAsia"/>
          <w:lang w:eastAsia="zh-CN"/>
        </w:rPr>
        <w:t>。</w:t>
      </w:r>
    </w:p>
    <w:p>
      <w:pPr>
        <w:ind w:leftChars="200" w:hanging="240" w:hangingChars="100"/>
        <w:rPr>
          <w:lang w:eastAsia="zh-CN"/>
        </w:rPr>
      </w:pPr>
      <w:r>
        <w:rPr>
          <w:rFonts w:hint="eastAsia"/>
          <w:lang w:eastAsia="zh-CN"/>
        </w:rPr>
        <w:t>参考日本原研产品的说明书</w:t>
      </w:r>
      <w:r>
        <w:rPr>
          <w:rFonts w:hint="eastAsia"/>
          <w:vertAlign w:val="superscript"/>
          <w:lang w:eastAsia="zh-CN"/>
        </w:rPr>
        <w:t>[2]</w:t>
      </w:r>
      <w:r>
        <w:rPr>
          <w:rFonts w:hint="eastAsia"/>
          <w:lang w:eastAsia="zh-CN"/>
        </w:rPr>
        <w:t>，本品还可能出现以下严重副作用和其他副作用：</w:t>
      </w:r>
    </w:p>
    <w:p>
      <w:pPr>
        <w:ind w:leftChars="100" w:hanging="480" w:hangingChars="200"/>
        <w:rPr>
          <w:lang w:eastAsia="zh-CN"/>
        </w:rPr>
      </w:pPr>
      <w:r>
        <w:rPr>
          <w:rFonts w:hint="eastAsia"/>
          <w:lang w:eastAsia="zh-CN"/>
        </w:rPr>
        <w:t>（1）严重副作用</w:t>
      </w:r>
    </w:p>
    <w:p>
      <w:pPr>
        <w:ind w:left="721" w:leftChars="200" w:hanging="241" w:hangingChars="100"/>
        <w:rPr>
          <w:lang w:eastAsia="zh-CN"/>
        </w:rPr>
      </w:pPr>
      <w:r>
        <w:rPr>
          <w:rFonts w:hint="eastAsia"/>
          <w:b/>
          <w:lang w:eastAsia="zh-CN"/>
        </w:rPr>
        <w:t>视力障碍：</w:t>
      </w:r>
      <w:r>
        <w:rPr>
          <w:rFonts w:hint="eastAsia"/>
          <w:lang w:eastAsia="zh-CN"/>
        </w:rPr>
        <w:t>视神经病变引起的视力减退、中心暗点、视野缩小、色觉异常等的视</w:t>
      </w:r>
    </w:p>
    <w:p>
      <w:pPr>
        <w:rPr>
          <w:lang w:eastAsia="zh-CN"/>
        </w:rPr>
      </w:pPr>
      <w:r>
        <w:rPr>
          <w:rFonts w:hint="eastAsia"/>
          <w:lang w:eastAsia="zh-CN"/>
        </w:rPr>
        <w:t>力障碍。</w:t>
      </w:r>
    </w:p>
    <w:p>
      <w:pPr>
        <w:ind w:left="721" w:leftChars="200" w:hanging="241" w:hangingChars="100"/>
        <w:rPr>
          <w:lang w:eastAsia="zh-CN"/>
        </w:rPr>
      </w:pPr>
      <w:r>
        <w:rPr>
          <w:rFonts w:hint="eastAsia"/>
          <w:b/>
          <w:lang w:eastAsia="zh-CN"/>
        </w:rPr>
        <w:t>严重肝损伤：</w:t>
      </w:r>
      <w:r>
        <w:rPr>
          <w:rFonts w:hint="eastAsia"/>
          <w:lang w:eastAsia="zh-CN"/>
        </w:rPr>
        <w:t>可能会发生严重的肝脏疾病，例如暴发性肝炎。</w:t>
      </w:r>
    </w:p>
    <w:p>
      <w:pPr>
        <w:ind w:left="721" w:leftChars="200" w:hanging="241" w:hangingChars="100"/>
        <w:rPr>
          <w:lang w:eastAsia="zh-CN"/>
        </w:rPr>
      </w:pPr>
      <w:r>
        <w:rPr>
          <w:rFonts w:hint="eastAsia"/>
          <w:b/>
          <w:lang w:eastAsia="zh-CN"/>
        </w:rPr>
        <w:t>休克、过敏反应：</w:t>
      </w:r>
      <w:r>
        <w:rPr>
          <w:rFonts w:hint="eastAsia"/>
          <w:lang w:eastAsia="zh-CN"/>
        </w:rPr>
        <w:t>可能出现休克和过敏反应如呼吸困难、一般潮红、血管神经性</w:t>
      </w:r>
    </w:p>
    <w:p>
      <w:pPr>
        <w:rPr>
          <w:lang w:eastAsia="zh-CN"/>
        </w:rPr>
      </w:pPr>
      <w:r>
        <w:rPr>
          <w:rFonts w:hint="eastAsia"/>
          <w:lang w:eastAsia="zh-CN"/>
        </w:rPr>
        <w:t>水肿（面部水肿，喉头水肿等），荨麻疹等异常情况。</w:t>
      </w:r>
    </w:p>
    <w:p>
      <w:pPr>
        <w:ind w:left="721" w:leftChars="200" w:hanging="241" w:hangingChars="100"/>
        <w:rPr>
          <w:lang w:eastAsia="zh-CN"/>
        </w:rPr>
      </w:pPr>
      <w:r>
        <w:rPr>
          <w:rFonts w:hint="eastAsia"/>
          <w:b/>
          <w:lang w:eastAsia="zh-CN"/>
        </w:rPr>
        <w:t>间质性肺炎，嗜酸性粒细胞性肺炎：</w:t>
      </w:r>
      <w:r>
        <w:rPr>
          <w:rFonts w:hint="eastAsia"/>
          <w:lang w:eastAsia="zh-CN"/>
        </w:rPr>
        <w:t>可能会出现间质性肺炎和嗜酸性粒细胞性肺</w:t>
      </w:r>
    </w:p>
    <w:p>
      <w:pPr>
        <w:rPr>
          <w:lang w:eastAsia="zh-CN"/>
        </w:rPr>
      </w:pPr>
      <w:r>
        <w:rPr>
          <w:rFonts w:hint="eastAsia"/>
          <w:lang w:eastAsia="zh-CN"/>
        </w:rPr>
        <w:t>炎，出现发烧，咳嗽，呼吸困难，胸部X线异常等情况。</w:t>
      </w:r>
    </w:p>
    <w:p>
      <w:pPr>
        <w:ind w:left="721" w:leftChars="200" w:hanging="241" w:hangingChars="100"/>
        <w:rPr>
          <w:b/>
        </w:rPr>
      </w:pPr>
      <w:r>
        <w:rPr>
          <w:rFonts w:hint="eastAsia"/>
          <w:b/>
        </w:rPr>
        <w:t>中毒性表皮坏死松解症（TEN），皮肤粘膜眼综合征（Stevens-Johnson综合</w:t>
      </w:r>
    </w:p>
    <w:p>
      <w:pPr>
        <w:rPr>
          <w:b/>
        </w:rPr>
      </w:pPr>
      <w:r>
        <w:rPr>
          <w:rFonts w:hint="eastAsia"/>
          <w:b/>
        </w:rPr>
        <w:t>征），红皮病（剥脱性皮炎）</w:t>
      </w:r>
    </w:p>
    <w:p>
      <w:pPr>
        <w:ind w:left="721" w:leftChars="200" w:hanging="241" w:hangingChars="100"/>
        <w:rPr>
          <w:b/>
        </w:rPr>
      </w:pPr>
      <w:r>
        <w:rPr>
          <w:rFonts w:hint="eastAsia"/>
          <w:b/>
        </w:rPr>
        <w:t>血小板减少症</w:t>
      </w:r>
    </w:p>
    <w:p>
      <w:pPr>
        <w:spacing w:before="240"/>
        <w:ind w:leftChars="200" w:hanging="240" w:hangingChars="100"/>
      </w:pPr>
      <w:r>
        <w:fldChar w:fldCharType="begin"/>
      </w:r>
      <w:r>
        <w:instrText xml:space="preserve"> </w:instrText>
      </w:r>
      <w:r>
        <w:rPr>
          <w:rFonts w:hint="eastAsia"/>
        </w:rPr>
        <w:instrText xml:space="preserve">= 2 \* GB2</w:instrText>
      </w:r>
      <w:r>
        <w:instrText xml:space="preserve"> </w:instrText>
      </w:r>
      <w:r>
        <w:fldChar w:fldCharType="separate"/>
      </w:r>
      <w:r>
        <w:rPr>
          <w:rFonts w:hint="eastAsia"/>
        </w:rPr>
        <w:t>⑵</w:t>
      </w:r>
      <w:r>
        <w:fldChar w:fldCharType="end"/>
      </w:r>
      <w:r>
        <w:t xml:space="preserve"> </w:t>
      </w:r>
      <w:r>
        <w:rPr>
          <w:rFonts w:hint="eastAsia"/>
        </w:rPr>
        <w:t>其他副作用</w:t>
      </w:r>
    </w:p>
    <w:tbl>
      <w:tblPr>
        <w:tblStyle w:val="28"/>
        <w:tblW w:w="813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Borders>
              <w:tl2br w:val="nil"/>
            </w:tcBorders>
          </w:tcPr>
          <w:p>
            <w:pPr>
              <w:widowControl w:val="0"/>
              <w:jc w:val="center"/>
              <w:rPr>
                <w:sz w:val="21"/>
                <w:szCs w:val="21"/>
              </w:rPr>
            </w:pPr>
            <w:r>
              <w:rPr>
                <w:rFonts w:hint="eastAsia"/>
                <w:sz w:val="21"/>
                <w:szCs w:val="21"/>
              </w:rPr>
              <w:t>分类</w:t>
            </w:r>
          </w:p>
        </w:tc>
        <w:tc>
          <w:tcPr>
            <w:tcW w:w="5720" w:type="dxa"/>
          </w:tcPr>
          <w:p>
            <w:pPr>
              <w:widowControl w:val="0"/>
              <w:jc w:val="center"/>
              <w:rPr>
                <w:sz w:val="21"/>
                <w:szCs w:val="21"/>
              </w:rPr>
            </w:pPr>
            <w:r>
              <w:rPr>
                <w:rFonts w:hint="eastAsia"/>
                <w:sz w:val="21"/>
                <w:szCs w:val="21"/>
              </w:rPr>
              <w:t>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中枢</w:t>
            </w:r>
            <w:r>
              <w:rPr>
                <w:rFonts w:ascii="MS Mincho" w:hAnsi="MS Mincho" w:cs="MS Mincho"/>
                <w:sz w:val="21"/>
                <w:szCs w:val="21"/>
              </w:rPr>
              <w:t>・</w:t>
            </w:r>
            <w:r>
              <w:rPr>
                <w:rFonts w:hint="eastAsia" w:cs="宋体"/>
                <w:sz w:val="21"/>
                <w:szCs w:val="21"/>
              </w:rPr>
              <w:t>末梢神经系统</w:t>
            </w:r>
          </w:p>
        </w:tc>
        <w:tc>
          <w:tcPr>
            <w:tcW w:w="5720" w:type="dxa"/>
          </w:tcPr>
          <w:p>
            <w:pPr>
              <w:widowControl w:val="0"/>
              <w:rPr>
                <w:sz w:val="21"/>
                <w:szCs w:val="21"/>
              </w:rPr>
            </w:pPr>
            <w:r>
              <w:rPr>
                <w:rFonts w:hint="eastAsia"/>
                <w:sz w:val="21"/>
                <w:szCs w:val="21"/>
              </w:rPr>
              <w:t>四肢麻木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精神神经系统</w:t>
            </w:r>
          </w:p>
        </w:tc>
        <w:tc>
          <w:tcPr>
            <w:tcW w:w="5720" w:type="dxa"/>
          </w:tcPr>
          <w:p>
            <w:pPr>
              <w:widowControl w:val="0"/>
              <w:rPr>
                <w:sz w:val="21"/>
                <w:szCs w:val="21"/>
              </w:rPr>
            </w:pPr>
            <w:r>
              <w:rPr>
                <w:rFonts w:hint="eastAsia"/>
                <w:sz w:val="21"/>
                <w:szCs w:val="21"/>
              </w:rPr>
              <w:t>幻觉，焦虑，失眠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过敏症</w:t>
            </w:r>
          </w:p>
        </w:tc>
        <w:tc>
          <w:tcPr>
            <w:tcW w:w="5720" w:type="dxa"/>
          </w:tcPr>
          <w:p>
            <w:pPr>
              <w:widowControl w:val="0"/>
              <w:rPr>
                <w:sz w:val="21"/>
                <w:szCs w:val="21"/>
              </w:rPr>
            </w:pPr>
            <w:r>
              <w:rPr>
                <w:rFonts w:hint="eastAsia"/>
                <w:sz w:val="21"/>
                <w:szCs w:val="21"/>
              </w:rPr>
              <w:t>发烧，皮疹，瘙痒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血液</w:t>
            </w:r>
          </w:p>
        </w:tc>
        <w:tc>
          <w:tcPr>
            <w:tcW w:w="5720" w:type="dxa"/>
          </w:tcPr>
          <w:p>
            <w:pPr>
              <w:widowControl w:val="0"/>
              <w:rPr>
                <w:sz w:val="21"/>
                <w:szCs w:val="21"/>
                <w:lang w:eastAsia="zh-CN"/>
              </w:rPr>
            </w:pPr>
            <w:r>
              <w:rPr>
                <w:rFonts w:hint="eastAsia"/>
                <w:sz w:val="21"/>
                <w:szCs w:val="21"/>
                <w:lang w:eastAsia="zh-CN"/>
              </w:rPr>
              <w:t>白细胞减少症，中性粒细胞减少症，嗜酸性粒细胞增多症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肝脏</w:t>
            </w:r>
          </w:p>
        </w:tc>
        <w:tc>
          <w:tcPr>
            <w:tcW w:w="5720" w:type="dxa"/>
          </w:tcPr>
          <w:p>
            <w:pPr>
              <w:widowControl w:val="0"/>
              <w:rPr>
                <w:sz w:val="21"/>
                <w:szCs w:val="21"/>
              </w:rPr>
            </w:pPr>
            <w:r>
              <w:rPr>
                <w:rFonts w:hint="eastAsia"/>
                <w:sz w:val="21"/>
                <w:szCs w:val="21"/>
              </w:rPr>
              <w:t>AST（GOT），ALT（GPT）的一过性上升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消化道</w:t>
            </w:r>
          </w:p>
        </w:tc>
        <w:tc>
          <w:tcPr>
            <w:tcW w:w="5720" w:type="dxa"/>
          </w:tcPr>
          <w:p>
            <w:pPr>
              <w:widowControl w:val="0"/>
              <w:rPr>
                <w:sz w:val="21"/>
                <w:szCs w:val="21"/>
                <w:lang w:eastAsia="zh-CN"/>
              </w:rPr>
            </w:pPr>
            <w:r>
              <w:rPr>
                <w:rFonts w:hint="eastAsia"/>
                <w:sz w:val="21"/>
                <w:szCs w:val="21"/>
                <w:lang w:eastAsia="zh-CN"/>
              </w:rPr>
              <w:t>厌食，恶心，呕吐，胃部不适，胃痛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tcPr>
          <w:p>
            <w:pPr>
              <w:widowControl w:val="0"/>
              <w:rPr>
                <w:sz w:val="21"/>
                <w:szCs w:val="21"/>
              </w:rPr>
            </w:pPr>
            <w:r>
              <w:rPr>
                <w:rFonts w:hint="eastAsia"/>
                <w:sz w:val="21"/>
                <w:szCs w:val="21"/>
              </w:rPr>
              <w:t>其他</w:t>
            </w:r>
          </w:p>
        </w:tc>
        <w:tc>
          <w:tcPr>
            <w:tcW w:w="5720" w:type="dxa"/>
          </w:tcPr>
          <w:p>
            <w:pPr>
              <w:widowControl w:val="0"/>
              <w:rPr>
                <w:sz w:val="21"/>
                <w:szCs w:val="21"/>
                <w:lang w:eastAsia="zh-CN"/>
              </w:rPr>
            </w:pPr>
            <w:r>
              <w:rPr>
                <w:rFonts w:hint="eastAsia"/>
                <w:sz w:val="21"/>
                <w:szCs w:val="21"/>
                <w:lang w:eastAsia="zh-CN"/>
              </w:rPr>
              <w:t>头痛，头晕，全身乏力，高尿酸血症</w:t>
            </w:r>
          </w:p>
        </w:tc>
      </w:tr>
    </w:tbl>
    <w:p>
      <w:pPr>
        <w:pStyle w:val="49"/>
        <w:keepNext w:val="0"/>
        <w:keepLines w:val="0"/>
        <w:numPr>
          <w:ilvl w:val="0"/>
          <w:numId w:val="0"/>
        </w:numPr>
        <w:autoSpaceDE w:val="0"/>
        <w:autoSpaceDN w:val="0"/>
        <w:adjustRightInd w:val="0"/>
        <w:ind w:leftChars="0"/>
        <w:contextualSpacing/>
        <w:outlineLvl w:val="2"/>
        <w:rPr>
          <w:rFonts w:hint="eastAsia" w:eastAsiaTheme="minorEastAsia"/>
          <w:vertAlign w:val="superscript"/>
          <w:lang w:val="en-US" w:eastAsia="zh-CN"/>
        </w:rPr>
      </w:pPr>
      <w:bookmarkStart w:id="44" w:name="_Toc20726"/>
      <w:r>
        <w:rPr>
          <w:rFonts w:hint="eastAsia" w:eastAsiaTheme="minorEastAsia"/>
          <w:lang w:val="en-US" w:eastAsia="zh-CN"/>
        </w:rPr>
        <w:t xml:space="preserve">1.2.5  </w:t>
      </w:r>
      <w:r>
        <w:rPr>
          <w:rFonts w:eastAsiaTheme="minorEastAsia"/>
          <w:lang w:val="zh-TW"/>
        </w:rPr>
        <w:t>注意事项</w:t>
      </w:r>
      <w:bookmarkEnd w:id="43"/>
      <w:r>
        <w:rPr>
          <w:rFonts w:hint="eastAsia" w:eastAsiaTheme="minorEastAsia"/>
          <w:vertAlign w:val="superscript"/>
          <w:lang w:val="en-US" w:eastAsia="zh-CN"/>
        </w:rPr>
        <w:t>[1]</w:t>
      </w:r>
      <w:bookmarkEnd w:id="44"/>
    </w:p>
    <w:p>
      <w:pPr>
        <w:ind w:leftChars="200" w:hanging="240" w:hangingChars="100"/>
        <w:rPr>
          <w:lang w:eastAsia="zh-CN"/>
        </w:rPr>
      </w:pPr>
      <w:r>
        <w:rPr>
          <w:lang w:eastAsia="zh-CN"/>
        </w:rPr>
        <w:t xml:space="preserve">1. </w:t>
      </w:r>
      <w:r>
        <w:rPr>
          <w:rFonts w:hint="eastAsia"/>
          <w:lang w:eastAsia="zh-CN"/>
        </w:rPr>
        <w:t>对诊断的干扰：服用本品可使血尿酸浓度测定值增高；</w:t>
      </w:r>
      <w:r>
        <w:rPr>
          <w:lang w:eastAsia="zh-CN"/>
        </w:rPr>
        <w:t xml:space="preserve"> </w:t>
      </w:r>
    </w:p>
    <w:p>
      <w:pPr>
        <w:ind w:leftChars="200" w:hanging="240" w:hangingChars="100"/>
        <w:rPr>
          <w:lang w:eastAsia="zh-CN"/>
        </w:rPr>
      </w:pPr>
      <w:r>
        <w:rPr>
          <w:lang w:eastAsia="zh-CN"/>
        </w:rPr>
        <w:t xml:space="preserve">2. </w:t>
      </w:r>
      <w:r>
        <w:rPr>
          <w:rFonts w:hint="eastAsia"/>
          <w:lang w:eastAsia="zh-CN"/>
        </w:rPr>
        <w:t>下列情况应慎用：痛风、视神经炎、肾功能减退；</w:t>
      </w:r>
      <w:r>
        <w:rPr>
          <w:lang w:eastAsia="zh-CN"/>
        </w:rPr>
        <w:t xml:space="preserve"> </w:t>
      </w:r>
    </w:p>
    <w:p>
      <w:pPr>
        <w:ind w:leftChars="200" w:hanging="240" w:hangingChars="100"/>
        <w:rPr>
          <w:lang w:eastAsia="zh-CN"/>
        </w:rPr>
      </w:pPr>
      <w:r>
        <w:rPr>
          <w:lang w:eastAsia="zh-CN"/>
        </w:rPr>
        <w:t xml:space="preserve">3. </w:t>
      </w:r>
      <w:r>
        <w:rPr>
          <w:rFonts w:hint="eastAsia"/>
          <w:lang w:eastAsia="zh-CN"/>
        </w:rPr>
        <w:t>治疗期间应检查：眼部，视野、视力、红绿鉴别力等，在用药前、疗程中每日</w:t>
      </w:r>
    </w:p>
    <w:p>
      <w:pPr>
        <w:ind w:left="0" w:firstLine="0"/>
        <w:rPr>
          <w:lang w:eastAsia="zh-CN"/>
        </w:rPr>
      </w:pPr>
      <w:r>
        <w:rPr>
          <w:rFonts w:hint="eastAsia"/>
          <w:lang w:eastAsia="zh-CN"/>
        </w:rPr>
        <w:t>检查一次，尤其是疗程长，每日剂量超过</w:t>
      </w:r>
      <w:r>
        <w:rPr>
          <w:lang w:eastAsia="zh-CN"/>
        </w:rPr>
        <w:t>15mg/kg</w:t>
      </w:r>
      <w:r>
        <w:rPr>
          <w:rFonts w:hint="eastAsia"/>
          <w:lang w:eastAsia="zh-CN"/>
        </w:rPr>
        <w:t>的患者；血清尿酸测定，由于本品</w:t>
      </w:r>
    </w:p>
    <w:p>
      <w:pPr>
        <w:ind w:left="0" w:firstLine="0"/>
        <w:rPr>
          <w:lang w:eastAsia="zh-CN"/>
        </w:rPr>
      </w:pPr>
      <w:r>
        <w:rPr>
          <w:rFonts w:hint="eastAsia"/>
          <w:lang w:eastAsia="zh-CN"/>
        </w:rPr>
        <w:t>可使血清尿酸浓度增高，引起痛风发作。因此在疗程中应定期测定；</w:t>
      </w:r>
      <w:r>
        <w:rPr>
          <w:lang w:eastAsia="zh-CN"/>
        </w:rPr>
        <w:t xml:space="preserve"> </w:t>
      </w:r>
    </w:p>
    <w:p>
      <w:pPr>
        <w:ind w:left="0" w:firstLine="480" w:firstLineChars="200"/>
        <w:rPr>
          <w:lang w:eastAsia="zh-CN"/>
        </w:rPr>
      </w:pPr>
      <w:r>
        <w:rPr>
          <w:rFonts w:hint="eastAsia"/>
          <w:lang w:eastAsia="zh-CN"/>
        </w:rPr>
        <w:t>4.如发生胃肠道刺激，乙胺丁醇可与食物同服。一日剂量分次服用可能达不到有效血药浓度，因此本品一日剂量宜一次顿服；</w:t>
      </w:r>
      <w:r>
        <w:rPr>
          <w:lang w:eastAsia="zh-CN"/>
        </w:rPr>
        <w:t xml:space="preserve"> </w:t>
      </w:r>
    </w:p>
    <w:p>
      <w:pPr>
        <w:ind w:leftChars="200" w:hanging="240" w:hangingChars="100"/>
        <w:rPr>
          <w:lang w:eastAsia="zh-CN"/>
        </w:rPr>
      </w:pPr>
      <w:r>
        <w:rPr>
          <w:lang w:eastAsia="zh-CN"/>
        </w:rPr>
        <w:t xml:space="preserve">5. </w:t>
      </w:r>
      <w:r>
        <w:rPr>
          <w:rFonts w:hint="eastAsia"/>
          <w:lang w:eastAsia="zh-CN"/>
        </w:rPr>
        <w:t>乙胺丁醇单用时细菌可迅速产生耐药性，因此必须与其他抗结核药联合应用。</w:t>
      </w:r>
    </w:p>
    <w:p>
      <w:pPr>
        <w:ind w:left="0" w:firstLine="0"/>
        <w:rPr>
          <w:lang w:eastAsia="zh-CN"/>
        </w:rPr>
      </w:pPr>
      <w:r>
        <w:rPr>
          <w:rFonts w:hint="eastAsia"/>
          <w:lang w:eastAsia="zh-CN"/>
        </w:rPr>
        <w:t>本品用于曾接受抗结核药的患者时，应至少与一种以上药物合用；</w:t>
      </w:r>
      <w:r>
        <w:rPr>
          <w:lang w:eastAsia="zh-CN"/>
        </w:rPr>
        <w:t xml:space="preserve"> </w:t>
      </w:r>
    </w:p>
    <w:p>
      <w:pPr>
        <w:numPr>
          <w:ilvl w:val="0"/>
          <w:numId w:val="8"/>
        </w:numPr>
        <w:ind w:leftChars="200" w:hanging="240" w:hangingChars="100"/>
      </w:pPr>
      <w:r>
        <w:rPr>
          <w:rFonts w:hint="eastAsia"/>
          <w:lang w:eastAsia="zh-CN"/>
        </w:rPr>
        <w:t>鉴于目前尚无切实可行的测定血药浓度方法，剂量应根据患者体重计算。</w:t>
      </w:r>
      <w:r>
        <w:rPr>
          <w:rFonts w:hint="eastAsia"/>
        </w:rPr>
        <w:t>肝或</w:t>
      </w:r>
    </w:p>
    <w:p>
      <w:pPr>
        <w:ind w:left="0" w:firstLine="0"/>
        <w:rPr>
          <w:lang w:eastAsia="zh-CN"/>
        </w:rPr>
      </w:pPr>
      <w:r>
        <w:rPr>
          <w:rFonts w:hint="eastAsia"/>
          <w:lang w:eastAsia="zh-CN"/>
        </w:rPr>
        <w:t>肾功能减退的患者，本品血药浓度可能增高，半衰期延长。有肾功能减退的患者应用时需减量。</w:t>
      </w:r>
      <w:r>
        <w:rPr>
          <w:lang w:eastAsia="zh-CN"/>
        </w:rPr>
        <w:t xml:space="preserve"> </w:t>
      </w:r>
    </w:p>
    <w:p>
      <w:pPr>
        <w:ind w:left="721" w:leftChars="200" w:hanging="241" w:hangingChars="100"/>
        <w:rPr>
          <w:b/>
          <w:lang w:eastAsia="zh-CN"/>
        </w:rPr>
      </w:pPr>
      <w:r>
        <w:rPr>
          <w:rFonts w:hint="eastAsia"/>
          <w:b/>
          <w:lang w:eastAsia="zh-CN"/>
        </w:rPr>
        <w:t>孕妇及哺乳期妇女用药</w:t>
      </w:r>
    </w:p>
    <w:p>
      <w:pPr>
        <w:ind w:left="0" w:firstLine="480" w:firstLineChars="200"/>
        <w:rPr>
          <w:lang w:eastAsia="zh-CN"/>
        </w:rPr>
      </w:pPr>
      <w:r>
        <w:rPr>
          <w:rFonts w:hint="eastAsia"/>
          <w:lang w:eastAsia="zh-CN"/>
        </w:rPr>
        <w:t>1.乙胺丁醇可透过胎盘，胎儿血药浓度约为母亲血药浓度的</w:t>
      </w:r>
      <w:r>
        <w:rPr>
          <w:lang w:eastAsia="zh-CN"/>
        </w:rPr>
        <w:t>30%</w:t>
      </w:r>
      <w:r>
        <w:rPr>
          <w:rFonts w:hint="eastAsia"/>
          <w:lang w:eastAsia="zh-CN"/>
        </w:rPr>
        <w:t>。本品在小鼠实验中高剂量可引起腭裂、脑外露和脊柱畸形等；大鼠中本品高剂量可引致轻度颈椎畸形；在家兔中本品高剂量可引起独眼畸形、短肢、兔唇和腭裂等畸形。虽然在人类中未证实，孕妇应用仍须充分权衡利弊。本品和其他药物合用时对胎儿的影响尚不清楚；</w:t>
      </w:r>
      <w:r>
        <w:rPr>
          <w:lang w:eastAsia="zh-CN"/>
        </w:rPr>
        <w:t xml:space="preserve"> </w:t>
      </w:r>
    </w:p>
    <w:p>
      <w:pPr>
        <w:ind w:leftChars="200" w:hanging="240" w:hangingChars="100"/>
        <w:rPr>
          <w:lang w:eastAsia="zh-CN"/>
        </w:rPr>
      </w:pPr>
      <w:r>
        <w:rPr>
          <w:lang w:eastAsia="zh-CN"/>
        </w:rPr>
        <w:t xml:space="preserve">2. </w:t>
      </w:r>
      <w:r>
        <w:rPr>
          <w:rFonts w:hint="eastAsia"/>
          <w:lang w:eastAsia="zh-CN"/>
        </w:rPr>
        <w:t>乙胺丁醇可分布至乳汁，浓度与血药浓度相近，虽然在人类中未证实有问题，</w:t>
      </w:r>
    </w:p>
    <w:p>
      <w:pPr>
        <w:rPr>
          <w:lang w:eastAsia="zh-CN"/>
        </w:rPr>
      </w:pPr>
      <w:r>
        <w:rPr>
          <w:rFonts w:hint="eastAsia"/>
          <w:lang w:eastAsia="zh-CN"/>
        </w:rPr>
        <w:t>哺乳期妇女用药须权衡利弊。</w:t>
      </w:r>
      <w:r>
        <w:rPr>
          <w:lang w:eastAsia="zh-CN"/>
        </w:rPr>
        <w:t xml:space="preserve"> </w:t>
      </w:r>
    </w:p>
    <w:p>
      <w:pPr>
        <w:ind w:left="721" w:leftChars="200" w:hanging="241" w:hangingChars="100"/>
        <w:rPr>
          <w:b/>
          <w:bCs/>
          <w:lang w:eastAsia="zh-CN"/>
        </w:rPr>
      </w:pPr>
      <w:r>
        <w:rPr>
          <w:rFonts w:hint="eastAsia"/>
          <w:b/>
          <w:bCs/>
          <w:lang w:eastAsia="zh-CN"/>
        </w:rPr>
        <w:t>儿童用药</w:t>
      </w:r>
    </w:p>
    <w:p>
      <w:pPr>
        <w:ind w:leftChars="200" w:hanging="240" w:hangingChars="100"/>
        <w:rPr>
          <w:lang w:eastAsia="zh-CN"/>
        </w:rPr>
      </w:pPr>
      <w:r>
        <w:rPr>
          <w:lang w:eastAsia="zh-CN"/>
        </w:rPr>
        <w:t>13</w:t>
      </w:r>
      <w:r>
        <w:rPr>
          <w:rFonts w:hint="eastAsia"/>
          <w:lang w:eastAsia="zh-CN"/>
        </w:rPr>
        <w:t>岁以下儿童尚缺乏临床资料。由于在幼儿中不易监测视力变化，故本品不推荐</w:t>
      </w:r>
    </w:p>
    <w:p>
      <w:pPr>
        <w:rPr>
          <w:lang w:eastAsia="zh-CN"/>
        </w:rPr>
      </w:pPr>
      <w:r>
        <w:rPr>
          <w:rFonts w:hint="eastAsia"/>
          <w:lang w:eastAsia="zh-CN"/>
        </w:rPr>
        <w:t>用于</w:t>
      </w:r>
      <w:r>
        <w:rPr>
          <w:lang w:eastAsia="zh-CN"/>
        </w:rPr>
        <w:t>13</w:t>
      </w:r>
      <w:r>
        <w:rPr>
          <w:rFonts w:hint="eastAsia"/>
          <w:lang w:eastAsia="zh-CN"/>
        </w:rPr>
        <w:t>岁以下儿童。</w:t>
      </w:r>
      <w:r>
        <w:rPr>
          <w:lang w:eastAsia="zh-CN"/>
        </w:rPr>
        <w:t xml:space="preserve"> </w:t>
      </w:r>
    </w:p>
    <w:p>
      <w:pPr>
        <w:ind w:left="721" w:leftChars="200" w:hanging="241" w:hangingChars="100"/>
        <w:rPr>
          <w:b/>
          <w:bCs/>
          <w:lang w:eastAsia="zh-CN"/>
        </w:rPr>
      </w:pPr>
      <w:r>
        <w:rPr>
          <w:rFonts w:hint="eastAsia"/>
          <w:b/>
          <w:bCs/>
          <w:lang w:eastAsia="zh-CN"/>
        </w:rPr>
        <w:t>老年用药</w:t>
      </w:r>
    </w:p>
    <w:p>
      <w:pPr>
        <w:ind w:leftChars="200" w:hanging="240" w:hangingChars="100"/>
        <w:rPr>
          <w:lang w:eastAsia="zh-CN"/>
        </w:rPr>
      </w:pPr>
      <w:r>
        <w:rPr>
          <w:rFonts w:hint="eastAsia"/>
          <w:lang w:eastAsia="zh-CN"/>
        </w:rPr>
        <w:t>老年人往往伴有生理性肾功能减退，故应按肾功能调整用量。</w:t>
      </w:r>
      <w:r>
        <w:rPr>
          <w:lang w:eastAsia="zh-CN"/>
        </w:rPr>
        <w:t xml:space="preserve"> </w:t>
      </w:r>
    </w:p>
    <w:p>
      <w:pPr>
        <w:pStyle w:val="49"/>
        <w:keepNext w:val="0"/>
        <w:keepLines w:val="0"/>
        <w:numPr>
          <w:ilvl w:val="0"/>
          <w:numId w:val="0"/>
        </w:numPr>
        <w:autoSpaceDE w:val="0"/>
        <w:autoSpaceDN w:val="0"/>
        <w:adjustRightInd w:val="0"/>
        <w:ind w:leftChars="0"/>
        <w:contextualSpacing/>
        <w:outlineLvl w:val="2"/>
        <w:rPr>
          <w:rFonts w:hint="eastAsia" w:eastAsiaTheme="minorEastAsia"/>
          <w:vertAlign w:val="superscript"/>
          <w:lang w:val="en-US" w:eastAsia="zh-CN"/>
        </w:rPr>
      </w:pPr>
      <w:bookmarkStart w:id="45" w:name="_Toc470893548"/>
      <w:bookmarkStart w:id="46" w:name="_Toc521584538"/>
      <w:bookmarkStart w:id="47" w:name="_Toc2182"/>
      <w:bookmarkStart w:id="48" w:name="_Toc460500088"/>
      <w:bookmarkStart w:id="49" w:name="_Toc460952480"/>
      <w:bookmarkStart w:id="50" w:name="_Toc17191"/>
      <w:r>
        <w:rPr>
          <w:rFonts w:hint="eastAsia" w:eastAsiaTheme="minorEastAsia"/>
          <w:lang w:val="en-US" w:eastAsia="zh-CN"/>
        </w:rPr>
        <w:t xml:space="preserve">1.2.6 </w:t>
      </w:r>
      <w:r>
        <w:rPr>
          <w:rFonts w:eastAsiaTheme="minorEastAsia"/>
          <w:lang w:val="zh-TW"/>
        </w:rPr>
        <w:t>禁忌症</w:t>
      </w:r>
      <w:bookmarkEnd w:id="45"/>
      <w:bookmarkEnd w:id="46"/>
      <w:r>
        <w:rPr>
          <w:rFonts w:hint="eastAsia" w:eastAsiaTheme="minorEastAsia"/>
          <w:vertAlign w:val="superscript"/>
          <w:lang w:val="en-US" w:eastAsia="zh-CN"/>
        </w:rPr>
        <w:t>[2]</w:t>
      </w:r>
      <w:bookmarkEnd w:id="47"/>
    </w:p>
    <w:p>
      <w:pPr>
        <w:ind w:leftChars="200" w:hanging="240" w:hangingChars="100"/>
        <w:rPr>
          <w:lang w:eastAsia="zh-TW"/>
        </w:rPr>
      </w:pPr>
      <w:bookmarkStart w:id="51" w:name="_Toc521584539"/>
      <w:r>
        <w:rPr>
          <w:rFonts w:hint="eastAsia"/>
          <w:lang w:eastAsia="zh-TW"/>
        </w:rPr>
        <w:t>【禁忌症（不适用于以下患者）】</w:t>
      </w:r>
    </w:p>
    <w:p>
      <w:pPr>
        <w:ind w:leftChars="300" w:firstLine="0"/>
        <w:rPr>
          <w:lang w:eastAsia="zh-CN"/>
        </w:rPr>
      </w:pPr>
      <w:r>
        <w:rPr>
          <w:rFonts w:hint="eastAsia"/>
          <w:lang w:eastAsia="zh-CN"/>
        </w:rPr>
        <w:t>有此药物成分过敏史的患者</w:t>
      </w:r>
    </w:p>
    <w:p>
      <w:pPr>
        <w:ind w:leftChars="200" w:hanging="240" w:hangingChars="100"/>
        <w:rPr>
          <w:lang w:eastAsia="zh-CN"/>
        </w:rPr>
      </w:pPr>
      <w:r>
        <w:rPr>
          <w:rFonts w:hint="eastAsia"/>
          <w:lang w:eastAsia="zh-CN"/>
        </w:rPr>
        <w:t>【原则上禁忌症（原则上不应给予以下患者，必要情况下给药时应谨慎使用）】</w:t>
      </w:r>
    </w:p>
    <w:p>
      <w:pPr>
        <w:ind w:leftChars="300" w:firstLine="0"/>
        <w:rPr>
          <w:lang w:eastAsia="zh-CN"/>
        </w:rPr>
      </w:pPr>
      <w:r>
        <w:rPr>
          <w:rFonts w:hint="eastAsia"/>
          <w:lang w:eastAsia="zh-CN"/>
        </w:rPr>
        <w:t>1.</w:t>
      </w:r>
      <w:r>
        <w:rPr>
          <w:lang w:eastAsia="zh-CN"/>
        </w:rPr>
        <w:t xml:space="preserve"> </w:t>
      </w:r>
      <w:r>
        <w:rPr>
          <w:rFonts w:hint="eastAsia"/>
          <w:lang w:eastAsia="zh-CN"/>
        </w:rPr>
        <w:t>视神经炎患者</w:t>
      </w:r>
    </w:p>
    <w:p>
      <w:pPr>
        <w:ind w:leftChars="300" w:firstLine="0"/>
      </w:pPr>
      <w:r>
        <w:rPr>
          <w:lang w:eastAsia="zh-CN"/>
        </w:rPr>
        <w:t>[</w:t>
      </w:r>
      <w:r>
        <w:rPr>
          <w:rFonts w:hint="eastAsia"/>
          <w:lang w:eastAsia="zh-CN"/>
        </w:rPr>
        <w:t>视力障碍有可能会加剧。</w:t>
      </w:r>
      <w:r>
        <w:t>]</w:t>
      </w:r>
    </w:p>
    <w:p>
      <w:pPr>
        <w:ind w:leftChars="300" w:firstLine="0"/>
        <w:rPr>
          <w:lang w:eastAsia="zh-CN"/>
        </w:rPr>
      </w:pPr>
      <w:r>
        <w:rPr>
          <w:rFonts w:hint="eastAsia"/>
          <w:lang w:eastAsia="zh-CN"/>
        </w:rPr>
        <w:t>2.</w:t>
      </w:r>
      <w:r>
        <w:rPr>
          <w:lang w:eastAsia="zh-CN"/>
        </w:rPr>
        <w:t xml:space="preserve"> </w:t>
      </w:r>
      <w:r>
        <w:rPr>
          <w:rFonts w:hint="eastAsia"/>
          <w:lang w:eastAsia="zh-CN"/>
        </w:rPr>
        <w:t>糖尿病患者</w:t>
      </w:r>
    </w:p>
    <w:p>
      <w:pPr>
        <w:ind w:leftChars="300" w:firstLine="0"/>
      </w:pPr>
      <w:r>
        <w:rPr>
          <w:rFonts w:hint="eastAsia"/>
          <w:lang w:eastAsia="zh-CN"/>
        </w:rPr>
        <w:t>[已有视神经损伤病变，症状会加剧。</w:t>
      </w:r>
      <w:r>
        <w:rPr>
          <w:rFonts w:hint="eastAsia"/>
        </w:rPr>
        <w:t>]</w:t>
      </w:r>
    </w:p>
    <w:p>
      <w:pPr>
        <w:ind w:leftChars="300" w:firstLine="0"/>
        <w:rPr>
          <w:lang w:eastAsia="zh-CN"/>
        </w:rPr>
      </w:pPr>
      <w:r>
        <w:rPr>
          <w:rFonts w:hint="eastAsia"/>
          <w:lang w:eastAsia="zh-CN"/>
        </w:rPr>
        <w:t>3. 婴幼儿</w:t>
      </w:r>
    </w:p>
    <w:p>
      <w:pPr>
        <w:ind w:leftChars="300" w:firstLine="0"/>
      </w:pPr>
      <w:r>
        <w:rPr>
          <w:rFonts w:hint="eastAsia"/>
          <w:lang w:eastAsia="zh-CN"/>
        </w:rPr>
        <w:t>[早期发现视力损害极为困难。</w:t>
      </w:r>
      <w:r>
        <w:rPr>
          <w:rFonts w:hint="eastAsia"/>
        </w:rPr>
        <w:t>]</w:t>
      </w:r>
    </w:p>
    <w:p>
      <w:pPr>
        <w:pStyle w:val="4"/>
        <w:keepNext w:val="0"/>
        <w:keepLines w:val="0"/>
        <w:widowControl w:val="0"/>
        <w:numPr>
          <w:ilvl w:val="1"/>
          <w:numId w:val="1"/>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rPr>
      </w:pPr>
      <w:bookmarkStart w:id="52" w:name="_Toc14336"/>
      <w:r>
        <w:rPr>
          <w:rFonts w:ascii="Times New Roman" w:hAnsi="Times New Roman" w:eastAsiaTheme="minorEastAsia"/>
          <w:sz w:val="24"/>
          <w:szCs w:val="24"/>
          <w:lang w:val="zh-TW"/>
        </w:rPr>
        <w:t>参比制剂的选择依据</w:t>
      </w:r>
      <w:bookmarkEnd w:id="48"/>
      <w:bookmarkEnd w:id="49"/>
      <w:bookmarkEnd w:id="50"/>
      <w:bookmarkEnd w:id="51"/>
      <w:bookmarkEnd w:id="52"/>
    </w:p>
    <w:p>
      <w:pPr>
        <w:ind w:leftChars="200" w:hanging="240" w:hangingChars="100"/>
        <w:contextualSpacing/>
        <w:rPr>
          <w:color w:val="000000"/>
          <w:lang w:eastAsia="zh-CN"/>
        </w:rPr>
      </w:pPr>
      <w:bookmarkStart w:id="53" w:name="_Hlk501874916"/>
      <w:bookmarkStart w:id="54" w:name="_Toc460500089"/>
      <w:bookmarkStart w:id="55" w:name="_Toc521584540"/>
      <w:bookmarkStart w:id="56" w:name="_Toc17468"/>
      <w:bookmarkStart w:id="57" w:name="_Toc460952481"/>
      <w:r>
        <w:rPr>
          <w:lang w:eastAsia="zh-CN"/>
        </w:rPr>
        <w:t>根据</w:t>
      </w:r>
      <w:r>
        <w:rPr>
          <w:rFonts w:hint="eastAsia"/>
          <w:lang w:eastAsia="zh-CN"/>
        </w:rPr>
        <w:t>国家药品监督管理局</w:t>
      </w:r>
      <w:r>
        <w:rPr>
          <w:lang w:eastAsia="zh-CN"/>
        </w:rPr>
        <w:t>《仿制药参比制剂目录（第五批）》中第</w:t>
      </w:r>
      <w:r>
        <w:rPr>
          <w:color w:val="000000"/>
          <w:lang w:eastAsia="zh-CN"/>
        </w:rPr>
        <w:t>5-44号的推</w:t>
      </w:r>
    </w:p>
    <w:p>
      <w:pPr>
        <w:contextualSpacing/>
        <w:rPr>
          <w:lang w:eastAsia="zh-CN"/>
        </w:rPr>
      </w:pPr>
      <w:r>
        <w:rPr>
          <w:color w:val="000000"/>
          <w:lang w:eastAsia="zh-CN"/>
        </w:rPr>
        <w:t>荐，</w:t>
      </w:r>
      <w:r>
        <w:rPr>
          <w:lang w:eastAsia="zh-CN"/>
        </w:rPr>
        <w:t>选择</w:t>
      </w:r>
      <w:r>
        <w:rPr>
          <w:rFonts w:hint="eastAsia"/>
          <w:color w:val="000000"/>
          <w:lang w:eastAsia="zh-CN" w:bidi="ar"/>
        </w:rPr>
        <w:t>XXXXXX</w:t>
      </w:r>
      <w:r>
        <w:rPr>
          <w:lang w:eastAsia="zh-CN"/>
        </w:rPr>
        <w:t>生产的</w:t>
      </w:r>
      <w:r>
        <w:rPr>
          <w:rFonts w:hint="eastAsia"/>
          <w:color w:val="000000"/>
          <w:lang w:eastAsia="zh-CN" w:bidi="ar"/>
        </w:rPr>
        <w:t>XXXXXX</w:t>
      </w:r>
      <w:r>
        <w:rPr>
          <w:lang w:eastAsia="zh-CN"/>
        </w:rPr>
        <w:t>（商品名：</w:t>
      </w:r>
      <w:r>
        <w:rPr>
          <w:rFonts w:hint="eastAsia"/>
          <w:color w:val="000000"/>
          <w:lang w:eastAsia="zh-CN" w:bidi="ar"/>
        </w:rPr>
        <w:t>XXX</w:t>
      </w:r>
      <w:r>
        <w:rPr>
          <w:lang w:eastAsia="zh-CN"/>
        </w:rPr>
        <w:t>；规</w:t>
      </w:r>
    </w:p>
    <w:p>
      <w:pPr>
        <w:contextualSpacing/>
        <w:rPr>
          <w:lang w:eastAsia="zh-CN"/>
        </w:rPr>
      </w:pPr>
      <w:r>
        <w:rPr>
          <w:lang w:eastAsia="zh-CN"/>
        </w:rPr>
        <w:t>格：</w:t>
      </w:r>
      <w:r>
        <w:rPr>
          <w:rFonts w:hint="eastAsia"/>
          <w:lang w:eastAsia="zh-CN"/>
        </w:rPr>
        <w:t>XX</w:t>
      </w:r>
      <w:r>
        <w:rPr>
          <w:lang w:eastAsia="zh-CN"/>
        </w:rPr>
        <w:t>g/片）作为参比</w:t>
      </w:r>
      <w:bookmarkEnd w:id="53"/>
      <w:r>
        <w:rPr>
          <w:lang w:eastAsia="zh-CN"/>
        </w:rPr>
        <w:t>制剂。</w:t>
      </w:r>
    </w:p>
    <w:p>
      <w:pPr>
        <w:pStyle w:val="4"/>
        <w:keepNext w:val="0"/>
        <w:keepLines w:val="0"/>
        <w:widowControl w:val="0"/>
        <w:numPr>
          <w:ilvl w:val="1"/>
          <w:numId w:val="1"/>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rPr>
      </w:pPr>
      <w:bookmarkStart w:id="58" w:name="_Toc32318"/>
      <w:r>
        <w:rPr>
          <w:rFonts w:ascii="Times New Roman" w:hAnsi="Times New Roman" w:eastAsiaTheme="minorEastAsia"/>
          <w:sz w:val="24"/>
          <w:szCs w:val="24"/>
          <w:lang w:val="zh-TW"/>
        </w:rPr>
        <w:t>申报规格说明</w:t>
      </w:r>
      <w:bookmarkEnd w:id="54"/>
      <w:bookmarkEnd w:id="55"/>
      <w:bookmarkEnd w:id="56"/>
      <w:bookmarkEnd w:id="57"/>
      <w:bookmarkEnd w:id="58"/>
    </w:p>
    <w:p>
      <w:pPr>
        <w:pStyle w:val="50"/>
        <w:autoSpaceDE w:val="0"/>
        <w:autoSpaceDN w:val="0"/>
        <w:adjustRightInd w:val="0"/>
        <w:ind w:left="0" w:firstLine="480" w:firstLineChars="200"/>
        <w:contextualSpacing/>
        <w:rPr>
          <w:rFonts w:eastAsiaTheme="minorEastAsia"/>
          <w:lang w:val="zh-TW"/>
        </w:rPr>
      </w:pPr>
      <w:r>
        <w:rPr>
          <w:rFonts w:hint="eastAsia" w:eastAsiaTheme="minorEastAsia"/>
          <w:color w:val="auto"/>
          <w:lang w:val="zh-TW" w:eastAsia="zh-CN"/>
        </w:rPr>
        <w:t>XXXXXX</w:t>
      </w:r>
      <w:r>
        <w:rPr>
          <w:rFonts w:hint="eastAsia" w:eastAsiaTheme="minorEastAsia"/>
          <w:color w:val="auto"/>
          <w:lang w:val="zh-TW"/>
        </w:rPr>
        <w:t>生产</w:t>
      </w:r>
      <w:r>
        <w:rPr>
          <w:rFonts w:eastAsiaTheme="minorEastAsia"/>
          <w:lang w:val="zh-TW"/>
        </w:rPr>
        <w:t>的</w:t>
      </w:r>
      <w:r>
        <w:rPr>
          <w:rFonts w:eastAsiaTheme="minorEastAsia"/>
          <w:color w:val="auto"/>
          <w:lang w:val="zh-TW"/>
        </w:rPr>
        <w:fldChar w:fldCharType="begin"/>
      </w:r>
      <w:r>
        <w:rPr>
          <w:rFonts w:eastAsiaTheme="minorEastAsia"/>
          <w:color w:val="auto"/>
          <w:lang w:val="zh-TW"/>
        </w:rPr>
        <w:instrText xml:space="preserve"> MERGEFIELD T受试制剂 </w:instrText>
      </w:r>
      <w:r>
        <w:rPr>
          <w:rFonts w:eastAsiaTheme="minorEastAsia"/>
          <w:color w:val="auto"/>
          <w:lang w:val="zh-TW"/>
        </w:rPr>
        <w:fldChar w:fldCharType="separate"/>
      </w:r>
      <w:r>
        <w:rPr>
          <w:rFonts w:hint="eastAsia" w:eastAsiaTheme="minorEastAsia"/>
          <w:lang w:val="zh-TW" w:eastAsia="zh-CN"/>
        </w:rPr>
        <w:t>XXXXXX</w:t>
      </w:r>
      <w:r>
        <w:rPr>
          <w:rFonts w:eastAsiaTheme="minorEastAsia"/>
          <w:color w:val="auto"/>
          <w:lang w:val="zh-TW"/>
        </w:rPr>
        <w:fldChar w:fldCharType="end"/>
      </w:r>
      <w:r>
        <w:rPr>
          <w:rFonts w:eastAsiaTheme="minorEastAsia"/>
          <w:lang w:val="zh-TW"/>
        </w:rPr>
        <w:t>为单一规格：</w:t>
      </w:r>
      <w:r>
        <w:rPr>
          <w:rFonts w:eastAsiaTheme="minorEastAsia"/>
          <w:color w:val="auto"/>
          <w:lang w:val="zh-TW"/>
        </w:rPr>
        <w:fldChar w:fldCharType="begin"/>
      </w:r>
      <w:r>
        <w:rPr>
          <w:rFonts w:eastAsiaTheme="minorEastAsia"/>
          <w:color w:val="auto"/>
          <w:lang w:val="zh-TW"/>
        </w:rPr>
        <w:instrText xml:space="preserve"> MERGEFIELD T规格 </w:instrText>
      </w:r>
      <w:r>
        <w:rPr>
          <w:rFonts w:eastAsiaTheme="minorEastAsia"/>
          <w:color w:val="auto"/>
          <w:lang w:val="zh-TW"/>
        </w:rPr>
        <w:fldChar w:fldCharType="separate"/>
      </w:r>
      <w:r>
        <w:rPr>
          <w:rFonts w:hint="eastAsia" w:eastAsiaTheme="minorEastAsia"/>
          <w:lang w:val="zh-TW" w:eastAsia="zh-CN"/>
        </w:rPr>
        <w:t>XX</w:t>
      </w:r>
      <w:r>
        <w:rPr>
          <w:rFonts w:hint="eastAsia" w:eastAsiaTheme="minorEastAsia"/>
          <w:lang w:val="zh-TW"/>
        </w:rPr>
        <w:t>g</w:t>
      </w:r>
      <w:r>
        <w:rPr>
          <w:rFonts w:eastAsiaTheme="minorEastAsia"/>
          <w:lang w:val="zh-TW"/>
        </w:rPr>
        <w:t>/</w:t>
      </w:r>
      <w:r>
        <w:rPr>
          <w:rFonts w:hint="eastAsia" w:eastAsiaTheme="minorEastAsia"/>
          <w:lang w:val="zh-TW"/>
        </w:rPr>
        <w:t>片</w:t>
      </w:r>
      <w:r>
        <w:rPr>
          <w:rFonts w:eastAsiaTheme="minorEastAsia"/>
          <w:color w:val="auto"/>
          <w:lang w:val="zh-TW"/>
        </w:rPr>
        <w:fldChar w:fldCharType="end"/>
      </w:r>
      <w:r>
        <w:rPr>
          <w:rFonts w:eastAsiaTheme="minorEastAsia"/>
          <w:lang w:val="zh-TW"/>
        </w:rPr>
        <w:t>。故本试验</w:t>
      </w:r>
      <w:r>
        <w:rPr>
          <w:rFonts w:hint="eastAsia" w:eastAsiaTheme="minorEastAsia"/>
        </w:rPr>
        <w:t>仅以</w:t>
      </w:r>
      <w:r>
        <w:rPr>
          <w:rFonts w:eastAsiaTheme="minorEastAsia"/>
          <w:color w:val="auto"/>
          <w:lang w:val="zh-TW"/>
        </w:rPr>
        <w:t>规格</w:t>
      </w:r>
      <w:r>
        <w:rPr>
          <w:rFonts w:hint="eastAsia" w:eastAsiaTheme="minorEastAsia"/>
          <w:color w:val="auto"/>
        </w:rPr>
        <w:t>为</w:t>
      </w:r>
      <w:r>
        <w:rPr>
          <w:rFonts w:eastAsiaTheme="minorEastAsia"/>
          <w:color w:val="auto"/>
          <w:lang w:val="zh-TW"/>
        </w:rPr>
        <w:fldChar w:fldCharType="begin"/>
      </w:r>
      <w:r>
        <w:rPr>
          <w:rFonts w:eastAsiaTheme="minorEastAsia"/>
          <w:color w:val="auto"/>
          <w:lang w:val="zh-TW"/>
        </w:rPr>
        <w:instrText xml:space="preserve"> MERGEFIELD T规格 </w:instrText>
      </w:r>
      <w:r>
        <w:rPr>
          <w:rFonts w:eastAsiaTheme="minorEastAsia"/>
          <w:color w:val="auto"/>
          <w:lang w:val="zh-TW"/>
        </w:rPr>
        <w:fldChar w:fldCharType="separate"/>
      </w:r>
      <w:r>
        <w:rPr>
          <w:rFonts w:hint="eastAsia" w:eastAsiaTheme="minorEastAsia"/>
          <w:lang w:val="zh-TW" w:eastAsia="zh-CN"/>
        </w:rPr>
        <w:t>XX</w:t>
      </w:r>
      <w:r>
        <w:rPr>
          <w:rFonts w:hint="eastAsia" w:eastAsiaTheme="minorEastAsia"/>
          <w:lang w:val="zh-TW"/>
        </w:rPr>
        <w:t>g</w:t>
      </w:r>
      <w:r>
        <w:rPr>
          <w:rFonts w:eastAsiaTheme="minorEastAsia"/>
          <w:lang w:val="zh-TW"/>
        </w:rPr>
        <w:t>/</w:t>
      </w:r>
      <w:r>
        <w:rPr>
          <w:rFonts w:hint="eastAsia" w:eastAsiaTheme="minorEastAsia"/>
          <w:lang w:val="zh-TW"/>
        </w:rPr>
        <w:t>片</w:t>
      </w:r>
      <w:r>
        <w:rPr>
          <w:rFonts w:eastAsiaTheme="minorEastAsia"/>
          <w:color w:val="auto"/>
          <w:lang w:val="zh-TW"/>
        </w:rPr>
        <w:fldChar w:fldCharType="end"/>
      </w:r>
      <w:r>
        <w:rPr>
          <w:rFonts w:hint="eastAsia" w:eastAsiaTheme="minorEastAsia"/>
          <w:color w:val="auto"/>
        </w:rPr>
        <w:t>的受试</w:t>
      </w:r>
      <w:r>
        <w:rPr>
          <w:rFonts w:eastAsiaTheme="minorEastAsia"/>
          <w:color w:val="auto"/>
          <w:lang w:val="zh-TW"/>
        </w:rPr>
        <w:t>制剂</w:t>
      </w:r>
      <w:r>
        <w:rPr>
          <w:rFonts w:hint="eastAsia" w:eastAsiaTheme="minorEastAsia"/>
        </w:rPr>
        <w:t>开展与同规格参比制剂的人体</w:t>
      </w:r>
      <w:r>
        <w:rPr>
          <w:rFonts w:eastAsiaTheme="minorEastAsia"/>
          <w:lang w:val="zh-TW"/>
        </w:rPr>
        <w:t>生物等效性试验。</w:t>
      </w:r>
    </w:p>
    <w:p>
      <w:pPr>
        <w:pStyle w:val="4"/>
        <w:keepNext w:val="0"/>
        <w:keepLines w:val="0"/>
        <w:widowControl w:val="0"/>
        <w:numPr>
          <w:ilvl w:val="1"/>
          <w:numId w:val="1"/>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rPr>
      </w:pPr>
      <w:bookmarkStart w:id="59" w:name="_Toc460952482"/>
      <w:bookmarkStart w:id="60" w:name="_Toc26610"/>
      <w:bookmarkStart w:id="61" w:name="_Toc521584541"/>
      <w:bookmarkStart w:id="62" w:name="_Toc460500090"/>
      <w:bookmarkStart w:id="63" w:name="_Toc29550"/>
      <w:r>
        <w:rPr>
          <w:rFonts w:ascii="Times New Roman" w:hAnsi="Times New Roman" w:eastAsiaTheme="minorEastAsia"/>
          <w:sz w:val="24"/>
          <w:szCs w:val="24"/>
          <w:lang w:val="zh-TW"/>
        </w:rPr>
        <w:t>本项研究内容</w:t>
      </w:r>
      <w:bookmarkEnd w:id="59"/>
      <w:bookmarkEnd w:id="60"/>
      <w:bookmarkEnd w:id="61"/>
      <w:bookmarkEnd w:id="62"/>
      <w:bookmarkEnd w:id="63"/>
    </w:p>
    <w:p>
      <w:pPr>
        <w:pStyle w:val="49"/>
        <w:keepNext w:val="0"/>
        <w:keepLines w:val="0"/>
        <w:numPr>
          <w:ilvl w:val="2"/>
          <w:numId w:val="1"/>
        </w:numPr>
        <w:autoSpaceDE w:val="0"/>
        <w:autoSpaceDN w:val="0"/>
        <w:adjustRightInd w:val="0"/>
        <w:ind w:left="0" w:firstLine="0"/>
        <w:contextualSpacing/>
        <w:outlineLvl w:val="2"/>
        <w:rPr>
          <w:rFonts w:eastAsiaTheme="minorEastAsia"/>
          <w:color w:val="auto"/>
          <w:lang w:val="zh-TW"/>
        </w:rPr>
      </w:pPr>
      <w:bookmarkStart w:id="64" w:name="_Toc1600"/>
      <w:bookmarkStart w:id="65" w:name="_Toc521584542"/>
      <w:bookmarkStart w:id="66" w:name="_Toc20468"/>
      <w:bookmarkStart w:id="67" w:name="_Toc460500091"/>
      <w:r>
        <w:rPr>
          <w:rFonts w:eastAsiaTheme="minorEastAsia"/>
          <w:color w:val="auto"/>
          <w:lang w:val="zh-TW" w:eastAsia="zh-TW"/>
        </w:rPr>
        <w:t>试验目的</w:t>
      </w:r>
      <w:bookmarkEnd w:id="64"/>
      <w:bookmarkEnd w:id="65"/>
      <w:bookmarkEnd w:id="66"/>
      <w:bookmarkEnd w:id="67"/>
    </w:p>
    <w:p>
      <w:pPr>
        <w:pStyle w:val="108"/>
        <w:widowControl w:val="0"/>
        <w:numPr>
          <w:ilvl w:val="3"/>
          <w:numId w:val="9"/>
        </w:numPr>
        <w:autoSpaceDE w:val="0"/>
        <w:autoSpaceDN w:val="0"/>
        <w:adjustRightInd w:val="0"/>
        <w:ind w:left="1077" w:hanging="1077" w:firstLineChars="0"/>
        <w:contextualSpacing/>
        <w:outlineLvl w:val="3"/>
        <w:rPr>
          <w:rFonts w:ascii="Times New Roman" w:hAnsi="Times New Roman" w:eastAsiaTheme="minorEastAsia"/>
          <w:b/>
          <w:sz w:val="24"/>
        </w:rPr>
      </w:pPr>
      <w:bookmarkStart w:id="68" w:name="_Toc460954435"/>
      <w:bookmarkStart w:id="69" w:name="_Toc464469020"/>
      <w:bookmarkStart w:id="70" w:name="_Toc461533160"/>
      <w:bookmarkStart w:id="71" w:name="_Toc31373"/>
      <w:bookmarkStart w:id="72" w:name="_Toc521584543"/>
      <w:bookmarkStart w:id="73" w:name="_Toc14397"/>
      <w:bookmarkStart w:id="74" w:name="_Toc9988"/>
      <w:r>
        <w:rPr>
          <w:rFonts w:ascii="Times New Roman" w:hAnsi="Times New Roman" w:eastAsiaTheme="minorEastAsia"/>
          <w:b/>
          <w:sz w:val="24"/>
        </w:rPr>
        <w:t>主要研究目的</w:t>
      </w:r>
      <w:bookmarkEnd w:id="68"/>
      <w:bookmarkEnd w:id="69"/>
      <w:bookmarkEnd w:id="70"/>
      <w:bookmarkEnd w:id="71"/>
      <w:bookmarkEnd w:id="72"/>
      <w:bookmarkEnd w:id="73"/>
      <w:bookmarkEnd w:id="74"/>
    </w:p>
    <w:p>
      <w:pPr>
        <w:widowControl w:val="0"/>
        <w:autoSpaceDE w:val="0"/>
        <w:autoSpaceDN w:val="0"/>
        <w:adjustRightInd w:val="0"/>
        <w:ind w:left="0" w:firstLine="480" w:firstLineChars="200"/>
        <w:contextualSpacing/>
        <w:jc w:val="left"/>
        <w:rPr>
          <w:lang w:eastAsia="zh-TW"/>
        </w:rPr>
      </w:pPr>
      <w:bookmarkStart w:id="75" w:name="_Toc521584544"/>
      <w:bookmarkStart w:id="76" w:name="_Toc461533161"/>
      <w:bookmarkStart w:id="77" w:name="_Toc464469021"/>
      <w:bookmarkStart w:id="78" w:name="_Toc16573"/>
      <w:r>
        <w:rPr>
          <w:lang w:eastAsia="zh-TW"/>
        </w:rPr>
        <w:t>健康受试者空腹/餐后状态下，</w:t>
      </w:r>
      <w:r>
        <w:rPr>
          <w:lang w:eastAsia="zh-CN"/>
        </w:rPr>
        <w:t>单剂量口服</w:t>
      </w:r>
      <w:r>
        <w:rPr>
          <w:rFonts w:hint="eastAsia"/>
          <w:lang w:eastAsia="zh-CN"/>
        </w:rPr>
        <w:t>XXXXXX</w:t>
      </w:r>
      <w:r>
        <w:rPr>
          <w:lang w:eastAsia="zh-TW"/>
        </w:rPr>
        <w:t>生产</w:t>
      </w:r>
      <w:r>
        <w:rPr>
          <w:lang w:eastAsia="zh-CN"/>
        </w:rPr>
        <w:t>的受试制剂</w:t>
      </w:r>
      <w:r>
        <w:rPr>
          <w:lang w:eastAsia="zh-TW"/>
        </w:rPr>
        <w:fldChar w:fldCharType="begin"/>
      </w:r>
      <w:r>
        <w:rPr>
          <w:lang w:eastAsia="zh-TW"/>
        </w:rPr>
        <w:instrText xml:space="preserve"> MERGEFIELD  T受试制剂 </w:instrText>
      </w:r>
      <w:r>
        <w:rPr>
          <w:lang w:eastAsia="zh-TW"/>
        </w:rPr>
        <w:fldChar w:fldCharType="separate"/>
      </w:r>
      <w:r>
        <w:rPr>
          <w:rFonts w:hint="eastAsia"/>
          <w:lang w:eastAsia="zh-CN"/>
        </w:rPr>
        <w:t>XXXXXX</w:t>
      </w:r>
      <w:r>
        <w:rPr>
          <w:lang w:eastAsia="zh-TW"/>
        </w:rPr>
        <w:fldChar w:fldCharType="end"/>
      </w:r>
      <w:r>
        <w:rPr>
          <w:lang w:eastAsia="zh-CN"/>
        </w:rPr>
        <w:t>（</w:t>
      </w:r>
      <w:r>
        <w:rPr>
          <w:lang w:eastAsia="zh-TW"/>
        </w:rPr>
        <w:t>规格：</w:t>
      </w:r>
      <w:r>
        <w:rPr>
          <w:lang w:eastAsia="zh-TW"/>
        </w:rPr>
        <w:fldChar w:fldCharType="begin"/>
      </w:r>
      <w:r>
        <w:rPr>
          <w:lang w:eastAsia="zh-TW"/>
        </w:rPr>
        <w:instrText xml:space="preserve"> MERGEFIELD  T规格 </w:instrText>
      </w:r>
      <w:r>
        <w:rPr>
          <w:lang w:eastAsia="zh-TW"/>
        </w:rPr>
        <w:fldChar w:fldCharType="separate"/>
      </w:r>
      <w:r>
        <w:rPr>
          <w:rFonts w:hint="eastAsia"/>
          <w:lang w:eastAsia="zh-CN"/>
        </w:rPr>
        <w:t>XX</w:t>
      </w:r>
      <w:r>
        <w:rPr>
          <w:lang w:eastAsia="zh-TW"/>
        </w:rPr>
        <w:t>g/片</w:t>
      </w:r>
      <w:r>
        <w:rPr>
          <w:lang w:eastAsia="zh-TW"/>
        </w:rPr>
        <w:fldChar w:fldCharType="end"/>
      </w:r>
      <w:r>
        <w:rPr>
          <w:lang w:eastAsia="zh-TW"/>
        </w:rPr>
        <w:t>）</w:t>
      </w:r>
      <w:r>
        <w:rPr>
          <w:rFonts w:hint="eastAsia"/>
          <w:lang w:eastAsia="zh-CN"/>
        </w:rPr>
        <w:t>或</w:t>
      </w:r>
      <w:r>
        <w:rPr>
          <w:rFonts w:hint="eastAsia"/>
          <w:color w:val="000000"/>
          <w:lang w:eastAsia="zh-CN" w:bidi="ar"/>
        </w:rPr>
        <w:t>XXXXXX</w:t>
      </w:r>
      <w:r>
        <w:rPr>
          <w:lang w:eastAsia="zh-CN"/>
        </w:rPr>
        <w:t>生产的参比制剂</w:t>
      </w:r>
      <w:r>
        <w:fldChar w:fldCharType="begin"/>
      </w:r>
      <w:r>
        <w:rPr>
          <w:lang w:eastAsia="zh-CN"/>
        </w:rPr>
        <w:instrText xml:space="preserve"> MERGEFIELD  R参比制剂  \* MERGEFORMAT </w:instrText>
      </w:r>
      <w:r>
        <w:fldChar w:fldCharType="separate"/>
      </w:r>
      <w:r>
        <w:rPr>
          <w:rFonts w:hint="eastAsia"/>
          <w:lang w:eastAsia="zh-CN"/>
        </w:rPr>
        <w:t>XXXXXX</w:t>
      </w:r>
      <w:r>
        <w:rPr>
          <w:lang w:eastAsia="zh-TW"/>
        </w:rPr>
        <w:fldChar w:fldCharType="end"/>
      </w:r>
      <w:r>
        <w:rPr>
          <w:lang w:eastAsia="zh-CN"/>
        </w:rPr>
        <w:t>（商品名：</w:t>
      </w:r>
      <w:r>
        <w:rPr>
          <w:rFonts w:hint="eastAsia"/>
          <w:color w:val="000000"/>
          <w:lang w:eastAsia="zh-CN" w:bidi="ar"/>
        </w:rPr>
        <w:t>XXX</w:t>
      </w:r>
      <w:r>
        <w:rPr>
          <w:lang w:eastAsia="zh-CN"/>
        </w:rPr>
        <w:t>；规格：</w:t>
      </w:r>
      <w:r>
        <w:rPr>
          <w:rFonts w:hint="eastAsia"/>
          <w:lang w:eastAsia="zh-CN"/>
        </w:rPr>
        <w:t>XX</w:t>
      </w:r>
      <w:r>
        <w:rPr>
          <w:lang w:eastAsia="zh-CN"/>
        </w:rPr>
        <w:t>g/片）</w:t>
      </w:r>
      <w:r>
        <w:rPr>
          <w:lang w:eastAsia="zh-TW"/>
        </w:rPr>
        <w:t>，</w:t>
      </w:r>
      <w:r>
        <w:rPr>
          <w:lang w:eastAsia="zh-CN"/>
        </w:rPr>
        <w:t>考察空腹/餐后条件下</w:t>
      </w:r>
      <w:r>
        <w:rPr>
          <w:lang w:eastAsia="zh-TW"/>
        </w:rPr>
        <w:t>受试制剂与参比制剂</w:t>
      </w:r>
      <w:r>
        <w:rPr>
          <w:lang w:eastAsia="zh-CN"/>
        </w:rPr>
        <w:t>在健康受试者体内的药代动力学参数，</w:t>
      </w:r>
      <w:r>
        <w:rPr>
          <w:rFonts w:hint="eastAsia"/>
          <w:lang w:eastAsia="zh-CN"/>
        </w:rPr>
        <w:t>评价两制剂的生物等效性</w:t>
      </w:r>
      <w:r>
        <w:rPr>
          <w:lang w:eastAsia="zh-CN"/>
        </w:rPr>
        <w:t>。</w:t>
      </w:r>
    </w:p>
    <w:p>
      <w:pPr>
        <w:pStyle w:val="108"/>
        <w:widowControl w:val="0"/>
        <w:numPr>
          <w:ilvl w:val="3"/>
          <w:numId w:val="9"/>
        </w:numPr>
        <w:autoSpaceDE w:val="0"/>
        <w:autoSpaceDN w:val="0"/>
        <w:adjustRightInd w:val="0"/>
        <w:ind w:left="1077" w:hanging="1077" w:firstLineChars="0"/>
        <w:contextualSpacing/>
        <w:outlineLvl w:val="3"/>
        <w:rPr>
          <w:rFonts w:ascii="Times New Roman" w:hAnsi="Times New Roman" w:eastAsiaTheme="minorEastAsia"/>
          <w:b/>
          <w:sz w:val="24"/>
        </w:rPr>
      </w:pPr>
      <w:bookmarkStart w:id="79" w:name="_Toc12205"/>
      <w:bookmarkStart w:id="80" w:name="_Toc26586"/>
      <w:r>
        <w:rPr>
          <w:rFonts w:ascii="Times New Roman" w:hAnsi="Times New Roman" w:eastAsiaTheme="minorEastAsia"/>
          <w:b/>
          <w:sz w:val="24"/>
        </w:rPr>
        <w:t>次要研究目的</w:t>
      </w:r>
      <w:bookmarkEnd w:id="75"/>
      <w:bookmarkEnd w:id="76"/>
      <w:bookmarkEnd w:id="77"/>
      <w:bookmarkEnd w:id="78"/>
      <w:bookmarkEnd w:id="79"/>
      <w:bookmarkEnd w:id="80"/>
    </w:p>
    <w:p>
      <w:pPr>
        <w:pStyle w:val="50"/>
        <w:autoSpaceDE w:val="0"/>
        <w:autoSpaceDN w:val="0"/>
        <w:adjustRightInd w:val="0"/>
        <w:ind w:left="0" w:firstLine="480" w:firstLineChars="200"/>
        <w:contextualSpacing/>
        <w:rPr>
          <w:rFonts w:eastAsiaTheme="minorEastAsia"/>
          <w:lang w:eastAsia="zh-TW"/>
        </w:rPr>
      </w:pPr>
      <w:r>
        <w:rPr>
          <w:rFonts w:eastAsia="宋体"/>
        </w:rPr>
        <w:t>考察</w:t>
      </w:r>
      <w:r>
        <w:rPr>
          <w:rFonts w:eastAsia="宋体"/>
          <w:lang w:val="zh-TW" w:eastAsia="zh-TW"/>
        </w:rPr>
        <w:t>受试制剂和参比制剂在健康受试者中的安全性。</w:t>
      </w:r>
    </w:p>
    <w:p>
      <w:pPr>
        <w:pStyle w:val="49"/>
        <w:keepNext w:val="0"/>
        <w:keepLines w:val="0"/>
        <w:numPr>
          <w:ilvl w:val="2"/>
          <w:numId w:val="1"/>
        </w:numPr>
        <w:autoSpaceDE w:val="0"/>
        <w:autoSpaceDN w:val="0"/>
        <w:adjustRightInd w:val="0"/>
        <w:ind w:left="0" w:firstLine="0"/>
        <w:contextualSpacing/>
        <w:outlineLvl w:val="2"/>
        <w:rPr>
          <w:rFonts w:eastAsiaTheme="minorEastAsia"/>
          <w:color w:val="auto"/>
          <w:lang w:val="zh-TW" w:eastAsia="zh-TW"/>
        </w:rPr>
      </w:pPr>
      <w:bookmarkStart w:id="81" w:name="_Toc14695"/>
      <w:bookmarkStart w:id="82" w:name="_Toc521584545"/>
      <w:r>
        <w:rPr>
          <w:rFonts w:eastAsiaTheme="minorEastAsia"/>
          <w:color w:val="auto"/>
          <w:lang w:val="zh-TW" w:eastAsia="zh-TW"/>
        </w:rPr>
        <w:t>试验设计</w:t>
      </w:r>
      <w:bookmarkEnd w:id="81"/>
      <w:bookmarkEnd w:id="82"/>
    </w:p>
    <w:p>
      <w:pPr>
        <w:pStyle w:val="50"/>
        <w:autoSpaceDE w:val="0"/>
        <w:autoSpaceDN w:val="0"/>
        <w:adjustRightInd w:val="0"/>
        <w:ind w:left="0" w:firstLine="480" w:firstLineChars="200"/>
        <w:contextualSpacing/>
        <w:rPr>
          <w:rFonts w:eastAsia="宋体"/>
        </w:rPr>
      </w:pPr>
      <w:bookmarkStart w:id="83" w:name="_Toc521584546"/>
      <w:r>
        <w:rPr>
          <w:rFonts w:eastAsia="宋体"/>
        </w:rPr>
        <w:t>本研究为</w:t>
      </w:r>
      <w:r>
        <w:rPr>
          <w:rFonts w:hint="eastAsia" w:eastAsia="宋体"/>
        </w:rPr>
        <w:t>在</w:t>
      </w:r>
      <w:r>
        <w:rPr>
          <w:rFonts w:eastAsia="宋体"/>
        </w:rPr>
        <w:t>健康成年受试者中进行的单中心、</w:t>
      </w:r>
      <w:r>
        <w:rPr>
          <w:rFonts w:hint="eastAsia" w:eastAsia="宋体"/>
        </w:rPr>
        <w:t>随机、开放、单剂量、两制剂、两周期、双交叉</w:t>
      </w:r>
      <w:r>
        <w:rPr>
          <w:rFonts w:eastAsia="宋体"/>
        </w:rPr>
        <w:t>给药的生物等效性</w:t>
      </w:r>
      <w:r>
        <w:rPr>
          <w:rFonts w:hint="eastAsia" w:eastAsia="宋体"/>
        </w:rPr>
        <w:t>试验</w:t>
      </w:r>
      <w:r>
        <w:rPr>
          <w:rFonts w:eastAsia="宋体"/>
        </w:rPr>
        <w:t>。</w:t>
      </w:r>
    </w:p>
    <w:p>
      <w:pPr>
        <w:pStyle w:val="50"/>
        <w:autoSpaceDE w:val="0"/>
        <w:autoSpaceDN w:val="0"/>
        <w:adjustRightInd w:val="0"/>
        <w:ind w:left="0" w:firstLine="480" w:firstLineChars="200"/>
        <w:contextualSpacing/>
        <w:rPr>
          <w:rFonts w:eastAsia="宋体"/>
        </w:rPr>
      </w:pPr>
      <w:r>
        <w:rPr>
          <w:rFonts w:eastAsia="宋体"/>
        </w:rPr>
        <w:t>试验分空腹和高脂餐后两个试验进行，计划共入组</w:t>
      </w:r>
      <w:r>
        <w:rPr>
          <w:rFonts w:hint="eastAsia" w:eastAsia="宋体"/>
        </w:rPr>
        <w:t>72</w:t>
      </w:r>
      <w:r>
        <w:rPr>
          <w:rFonts w:eastAsia="宋体"/>
        </w:rPr>
        <w:t>例健康受试者（先入组空腹</w:t>
      </w:r>
      <w:r>
        <w:rPr>
          <w:rFonts w:hint="eastAsia" w:eastAsia="宋体"/>
        </w:rPr>
        <w:t>试验</w:t>
      </w:r>
      <w:r>
        <w:rPr>
          <w:rFonts w:eastAsia="宋体"/>
        </w:rPr>
        <w:t>受试者）：其中空腹</w:t>
      </w:r>
      <w:r>
        <w:rPr>
          <w:rFonts w:hint="eastAsia" w:eastAsia="宋体"/>
        </w:rPr>
        <w:t>试验</w:t>
      </w:r>
      <w:r>
        <w:rPr>
          <w:rFonts w:eastAsia="宋体"/>
        </w:rPr>
        <w:t>入组</w:t>
      </w:r>
      <w:r>
        <w:rPr>
          <w:rFonts w:hint="eastAsia" w:eastAsia="宋体"/>
        </w:rPr>
        <w:t>4</w:t>
      </w:r>
      <w:r>
        <w:rPr>
          <w:rFonts w:eastAsia="宋体"/>
        </w:rPr>
        <w:t>8例受试者，包含男性、女性受试者</w:t>
      </w:r>
      <w:r>
        <w:rPr>
          <w:rFonts w:hint="eastAsia" w:eastAsia="宋体"/>
        </w:rPr>
        <w:t>，性别比例适当</w:t>
      </w:r>
      <w:r>
        <w:rPr>
          <w:rFonts w:eastAsia="宋体"/>
        </w:rPr>
        <w:t>；高脂餐后</w:t>
      </w:r>
      <w:r>
        <w:rPr>
          <w:rFonts w:hint="eastAsia" w:eastAsia="宋体"/>
        </w:rPr>
        <w:t>试验</w:t>
      </w:r>
      <w:r>
        <w:rPr>
          <w:rFonts w:eastAsia="宋体"/>
        </w:rPr>
        <w:t>入组</w:t>
      </w:r>
      <w:r>
        <w:rPr>
          <w:rFonts w:hint="eastAsia" w:eastAsia="宋体"/>
        </w:rPr>
        <w:t>24</w:t>
      </w:r>
      <w:r>
        <w:rPr>
          <w:rFonts w:eastAsia="宋体"/>
        </w:rPr>
        <w:t>例受试者，包含男性、女性受试者，</w:t>
      </w:r>
      <w:r>
        <w:rPr>
          <w:rFonts w:hint="eastAsia" w:eastAsia="宋体"/>
        </w:rPr>
        <w:t>性别比例适当</w:t>
      </w:r>
      <w:r>
        <w:rPr>
          <w:rFonts w:eastAsia="宋体"/>
        </w:rPr>
        <w:t>。</w:t>
      </w:r>
      <w:r>
        <w:rPr>
          <w:rFonts w:hint="eastAsia" w:eastAsia="宋体"/>
        </w:rPr>
        <w:t>试验</w:t>
      </w:r>
      <w:r>
        <w:rPr>
          <w:rFonts w:eastAsia="宋体"/>
        </w:rPr>
        <w:t>每周期给药一次，健康受试者随机分为两组，每组人数相等，清洗期</w:t>
      </w:r>
      <w:r>
        <w:rPr>
          <w:rFonts w:eastAsia="宋体"/>
        </w:rPr>
        <w:fldChar w:fldCharType="begin"/>
      </w:r>
      <w:r>
        <w:rPr>
          <w:rFonts w:eastAsia="宋体"/>
        </w:rPr>
        <w:instrText xml:space="preserve"> MERGEFIELD 洗脱期 </w:instrText>
      </w:r>
      <w:r>
        <w:rPr>
          <w:rFonts w:eastAsia="宋体"/>
        </w:rPr>
        <w:fldChar w:fldCharType="separate"/>
      </w:r>
      <w:r>
        <w:rPr>
          <w:rFonts w:eastAsia="宋体"/>
        </w:rPr>
        <w:t>7</w:t>
      </w:r>
      <w:r>
        <w:rPr>
          <w:rFonts w:eastAsia="宋体"/>
        </w:rPr>
        <w:fldChar w:fldCharType="end"/>
      </w:r>
      <w:r>
        <w:rPr>
          <w:rFonts w:eastAsia="宋体"/>
        </w:rPr>
        <w:t>天。给药顺序见表</w:t>
      </w:r>
      <w:r>
        <w:rPr>
          <w:rFonts w:hint="eastAsia" w:eastAsia="宋体"/>
        </w:rPr>
        <w:t>1。</w:t>
      </w:r>
    </w:p>
    <w:p>
      <w:pPr>
        <w:pStyle w:val="50"/>
        <w:autoSpaceDE w:val="0"/>
        <w:autoSpaceDN w:val="0"/>
        <w:adjustRightInd w:val="0"/>
        <w:ind w:left="0" w:firstLine="0"/>
        <w:contextualSpacing/>
        <w:jc w:val="center"/>
        <w:rPr>
          <w:rFonts w:eastAsia="宋体"/>
          <w:b/>
          <w:sz w:val="22"/>
          <w:szCs w:val="22"/>
        </w:rPr>
      </w:pPr>
      <w:r>
        <w:rPr>
          <w:rFonts w:hint="eastAsia" w:eastAsia="宋体"/>
          <w:b/>
          <w:sz w:val="22"/>
          <w:szCs w:val="22"/>
        </w:rPr>
        <w:t>表1  交叉给药方案</w:t>
      </w:r>
    </w:p>
    <w:tbl>
      <w:tblPr>
        <w:tblStyle w:val="27"/>
        <w:tblW w:w="741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55"/>
        <w:gridCol w:w="1855"/>
        <w:gridCol w:w="1855"/>
        <w:gridCol w:w="18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0" w:hRule="exact"/>
          <w:jc w:val="center"/>
        </w:trPr>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p>
        </w:tc>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周期</w:t>
            </w:r>
            <w:r>
              <w:rPr>
                <w:sz w:val="22"/>
                <w:szCs w:val="22"/>
                <w:lang w:eastAsia="zh-CN"/>
              </w:rPr>
              <w:t>1</w:t>
            </w:r>
          </w:p>
        </w:tc>
        <w:tc>
          <w:tcPr>
            <w:tcW w:w="1855" w:type="dxa"/>
            <w:vMerge w:val="restart"/>
            <w:tcBorders>
              <w:top w:val="single" w:color="000000" w:sz="4" w:space="0"/>
              <w:left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清洗期</w:t>
            </w:r>
          </w:p>
        </w:tc>
        <w:tc>
          <w:tcPr>
            <w:tcW w:w="1849"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周期</w:t>
            </w:r>
            <w:r>
              <w:rPr>
                <w:sz w:val="22"/>
                <w:szCs w:val="22"/>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0" w:hRule="exact"/>
          <w:jc w:val="center"/>
        </w:trPr>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sz w:val="22"/>
                <w:szCs w:val="22"/>
                <w:lang w:val="zh-TW" w:eastAsia="zh-CN"/>
              </w:rPr>
              <w:t>T-R</w:t>
            </w:r>
            <w:r>
              <w:rPr>
                <w:rFonts w:hint="eastAsia"/>
                <w:sz w:val="22"/>
                <w:szCs w:val="22"/>
                <w:lang w:eastAsia="zh-CN"/>
              </w:rPr>
              <w:t>组</w:t>
            </w:r>
          </w:p>
        </w:tc>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T</w:t>
            </w:r>
          </w:p>
        </w:tc>
        <w:tc>
          <w:tcPr>
            <w:tcW w:w="1855" w:type="dxa"/>
            <w:vMerge w:val="continue"/>
            <w:tcBorders>
              <w:left w:val="single" w:color="000000" w:sz="4" w:space="0"/>
              <w:right w:val="single" w:color="000000" w:sz="4" w:space="0"/>
            </w:tcBorders>
            <w:vAlign w:val="center"/>
          </w:tcPr>
          <w:p>
            <w:pPr>
              <w:spacing w:line="276" w:lineRule="auto"/>
              <w:ind w:left="0" w:firstLine="0"/>
              <w:jc w:val="center"/>
              <w:rPr>
                <w:sz w:val="22"/>
                <w:szCs w:val="22"/>
                <w:lang w:eastAsia="zh-CN"/>
              </w:rPr>
            </w:pPr>
          </w:p>
        </w:tc>
        <w:tc>
          <w:tcPr>
            <w:tcW w:w="1849"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6" w:hRule="exact"/>
          <w:jc w:val="center"/>
        </w:trPr>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sz w:val="22"/>
                <w:szCs w:val="22"/>
                <w:lang w:val="zh-TW" w:eastAsia="zh-CN"/>
              </w:rPr>
              <w:t>R-T</w:t>
            </w:r>
            <w:r>
              <w:rPr>
                <w:rFonts w:hint="eastAsia"/>
                <w:sz w:val="22"/>
                <w:szCs w:val="22"/>
                <w:lang w:eastAsia="zh-CN"/>
              </w:rPr>
              <w:t>组</w:t>
            </w:r>
          </w:p>
        </w:tc>
        <w:tc>
          <w:tcPr>
            <w:tcW w:w="1855"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R</w:t>
            </w:r>
          </w:p>
        </w:tc>
        <w:tc>
          <w:tcPr>
            <w:tcW w:w="1855" w:type="dxa"/>
            <w:vMerge w:val="continue"/>
            <w:tcBorders>
              <w:left w:val="single" w:color="000000" w:sz="4" w:space="0"/>
              <w:right w:val="single" w:color="000000" w:sz="4" w:space="0"/>
            </w:tcBorders>
            <w:vAlign w:val="center"/>
          </w:tcPr>
          <w:p>
            <w:pPr>
              <w:spacing w:line="276" w:lineRule="auto"/>
              <w:ind w:left="0" w:firstLine="0"/>
              <w:jc w:val="center"/>
              <w:rPr>
                <w:sz w:val="22"/>
                <w:szCs w:val="22"/>
                <w:lang w:eastAsia="zh-CN"/>
              </w:rPr>
            </w:pPr>
          </w:p>
        </w:tc>
        <w:tc>
          <w:tcPr>
            <w:tcW w:w="1849" w:type="dxa"/>
            <w:tcBorders>
              <w:top w:val="single" w:color="000000" w:sz="4" w:space="0"/>
              <w:left w:val="single" w:color="000000" w:sz="4" w:space="0"/>
              <w:bottom w:val="single" w:color="000000" w:sz="4" w:space="0"/>
              <w:right w:val="single" w:color="000000" w:sz="4" w:space="0"/>
            </w:tcBorders>
            <w:vAlign w:val="center"/>
          </w:tcPr>
          <w:p>
            <w:pPr>
              <w:spacing w:line="276" w:lineRule="auto"/>
              <w:ind w:left="0" w:firstLine="0"/>
              <w:jc w:val="center"/>
              <w:rPr>
                <w:sz w:val="22"/>
                <w:szCs w:val="22"/>
                <w:lang w:eastAsia="zh-CN"/>
              </w:rPr>
            </w:pPr>
            <w:r>
              <w:rPr>
                <w:rFonts w:hint="eastAsia"/>
                <w:sz w:val="22"/>
                <w:szCs w:val="22"/>
                <w:lang w:eastAsia="zh-CN"/>
              </w:rPr>
              <w:t>T</w:t>
            </w:r>
          </w:p>
        </w:tc>
      </w:tr>
    </w:tbl>
    <w:p>
      <w:pPr>
        <w:pStyle w:val="49"/>
        <w:keepNext w:val="0"/>
        <w:keepLines w:val="0"/>
        <w:numPr>
          <w:ilvl w:val="2"/>
          <w:numId w:val="1"/>
        </w:numPr>
        <w:autoSpaceDE w:val="0"/>
        <w:autoSpaceDN w:val="0"/>
        <w:adjustRightInd w:val="0"/>
        <w:ind w:left="0" w:firstLine="0"/>
        <w:contextualSpacing/>
        <w:outlineLvl w:val="2"/>
        <w:rPr>
          <w:rFonts w:eastAsiaTheme="minorEastAsia"/>
          <w:color w:val="auto"/>
          <w:lang w:val="zh-TW" w:eastAsia="zh-TW"/>
        </w:rPr>
      </w:pPr>
      <w:bookmarkStart w:id="84" w:name="_Toc20548"/>
      <w:r>
        <w:rPr>
          <w:rFonts w:eastAsiaTheme="minorEastAsia"/>
          <w:color w:val="auto"/>
          <w:lang w:val="zh-TW" w:eastAsia="zh-TW"/>
        </w:rPr>
        <w:t>随机方法</w:t>
      </w:r>
      <w:bookmarkEnd w:id="83"/>
      <w:bookmarkEnd w:id="84"/>
    </w:p>
    <w:p>
      <w:pPr>
        <w:pStyle w:val="3"/>
        <w:autoSpaceDE w:val="0"/>
        <w:autoSpaceDN w:val="0"/>
        <w:adjustRightInd w:val="0"/>
        <w:ind w:left="0" w:firstLine="480" w:firstLineChars="200"/>
        <w:contextualSpacing/>
        <w:rPr>
          <w:rFonts w:ascii="Times New Roman" w:hAnsi="Times New Roman" w:eastAsia="宋体" w:cs="Times New Roman"/>
          <w:sz w:val="24"/>
          <w:szCs w:val="24"/>
          <w:lang w:val="zh-TW"/>
        </w:rPr>
      </w:pPr>
      <w:r>
        <w:rPr>
          <w:rFonts w:ascii="Times New Roman" w:hAnsi="Times New Roman" w:eastAsia="宋体" w:cs="Times New Roman"/>
          <w:sz w:val="24"/>
          <w:szCs w:val="24"/>
        </w:rPr>
        <w:t>在研究中每名受试者接受受试制剂或参比制剂的顺序将由随机</w:t>
      </w:r>
      <w:r>
        <w:rPr>
          <w:rFonts w:hint="eastAsia" w:ascii="Times New Roman" w:hAnsi="Times New Roman" w:eastAsia="宋体" w:cs="Times New Roman"/>
          <w:sz w:val="24"/>
          <w:szCs w:val="24"/>
        </w:rPr>
        <w:t>分配表</w:t>
      </w:r>
      <w:r>
        <w:rPr>
          <w:rFonts w:ascii="Times New Roman" w:hAnsi="Times New Roman" w:eastAsia="宋体" w:cs="Times New Roman"/>
          <w:sz w:val="24"/>
          <w:szCs w:val="24"/>
        </w:rPr>
        <w:t>确定。</w:t>
      </w:r>
      <w:r>
        <w:rPr>
          <w:rFonts w:hint="eastAsia" w:ascii="Times New Roman" w:hAnsi="Times New Roman" w:eastAsia="宋体" w:cs="Times New Roman"/>
          <w:sz w:val="24"/>
          <w:szCs w:val="24"/>
          <w:lang w:val="zh-TW"/>
        </w:rPr>
        <w:t>由统计单位应用SAS（9.</w:t>
      </w:r>
      <w:r>
        <w:rPr>
          <w:rFonts w:hint="eastAsia" w:ascii="Times New Roman" w:hAnsi="Times New Roman" w:cs="Times New Roman" w:eastAsiaTheme="minorEastAsia"/>
          <w:sz w:val="24"/>
          <w:szCs w:val="24"/>
          <w:lang w:val="zh-TW"/>
        </w:rPr>
        <w:t>4</w:t>
      </w:r>
      <w:r>
        <w:rPr>
          <w:rFonts w:hint="eastAsia" w:ascii="Times New Roman" w:hAnsi="Times New Roman" w:eastAsia="宋体" w:cs="Times New Roman"/>
          <w:sz w:val="24"/>
          <w:szCs w:val="24"/>
          <w:lang w:val="zh-TW"/>
        </w:rPr>
        <w:t>或更高版本）用区组随机法生成随机分配表</w:t>
      </w:r>
      <w:r>
        <w:rPr>
          <w:rFonts w:ascii="Times New Roman" w:hAnsi="Times New Roman" w:eastAsia="宋体" w:cs="Times New Roman"/>
          <w:sz w:val="24"/>
          <w:szCs w:val="24"/>
        </w:rPr>
        <w:t>。</w:t>
      </w:r>
      <w:r>
        <w:rPr>
          <w:rFonts w:ascii="Times New Roman" w:hAnsi="Times New Roman" w:eastAsia="宋体" w:cs="Times New Roman"/>
          <w:sz w:val="24"/>
          <w:szCs w:val="24"/>
          <w:lang w:val="zh-TW"/>
        </w:rPr>
        <w:t>在筛选时，每名受试者将使用筛选号进行识别</w:t>
      </w:r>
      <w:r>
        <w:rPr>
          <w:rFonts w:hint="eastAsia" w:ascii="Times New Roman" w:hAnsi="Times New Roman" w:eastAsia="宋体" w:cs="Times New Roman"/>
          <w:sz w:val="24"/>
          <w:szCs w:val="24"/>
          <w:lang w:val="zh-TW"/>
        </w:rPr>
        <w:t>（筛选号按照签署知情同意书的先后顺序进行排序），</w:t>
      </w:r>
      <w:r>
        <w:rPr>
          <w:rFonts w:ascii="Times New Roman" w:hAnsi="Times New Roman" w:eastAsia="宋体" w:cs="Times New Roman"/>
          <w:sz w:val="24"/>
          <w:szCs w:val="24"/>
          <w:lang w:val="zh-TW"/>
        </w:rPr>
        <w:t>以S+三位阿拉伯数字表示，如S001</w:t>
      </w:r>
      <w:r>
        <w:rPr>
          <w:rFonts w:hint="eastAsia" w:ascii="Times New Roman" w:hAnsi="Times New Roman" w:eastAsia="宋体" w:cs="Times New Roman"/>
          <w:sz w:val="24"/>
          <w:szCs w:val="24"/>
          <w:lang w:val="zh-TW"/>
        </w:rPr>
        <w:t>、</w:t>
      </w:r>
      <w:r>
        <w:rPr>
          <w:rFonts w:hint="eastAsia" w:ascii="Times New Roman" w:hAnsi="Times New Roman" w:eastAsia="宋体" w:cs="Times New Roman"/>
          <w:sz w:val="24"/>
          <w:szCs w:val="24"/>
        </w:rPr>
        <w:t>S002、S003......</w:t>
      </w:r>
      <w:r>
        <w:rPr>
          <w:rFonts w:ascii="Times New Roman" w:hAnsi="Times New Roman" w:eastAsia="宋体" w:cs="Times New Roman"/>
          <w:sz w:val="24"/>
          <w:szCs w:val="24"/>
          <w:lang w:val="zh-TW"/>
        </w:rPr>
        <w:t>，每位进行筛选的受试者对应唯一的筛选号</w:t>
      </w:r>
      <w:r>
        <w:rPr>
          <w:rFonts w:hint="eastAsia" w:ascii="Times New Roman" w:hAnsi="Times New Roman" w:eastAsia="宋体" w:cs="Times New Roman"/>
          <w:sz w:val="24"/>
          <w:szCs w:val="24"/>
          <w:lang w:val="zh-TW"/>
        </w:rPr>
        <w:t>（</w:t>
      </w:r>
      <w:r>
        <w:rPr>
          <w:rFonts w:hint="eastAsia" w:ascii="Times New Roman" w:hAnsi="Times New Roman" w:eastAsia="宋体" w:cs="Times New Roman"/>
          <w:sz w:val="24"/>
          <w:szCs w:val="24"/>
        </w:rPr>
        <w:t>如先开展空腹试验，餐后试验的首个筛选号应顺延空腹试验末个筛选号</w:t>
      </w:r>
      <w:r>
        <w:rPr>
          <w:rFonts w:hint="eastAsia" w:ascii="Times New Roman" w:hAnsi="Times New Roman" w:eastAsia="宋体" w:cs="Times New Roman"/>
          <w:sz w:val="24"/>
          <w:szCs w:val="24"/>
          <w:lang w:val="zh-TW"/>
        </w:rPr>
        <w:t>）</w:t>
      </w:r>
      <w:r>
        <w:rPr>
          <w:rFonts w:ascii="Times New Roman" w:hAnsi="Times New Roman" w:eastAsia="宋体" w:cs="Times New Roman"/>
          <w:sz w:val="24"/>
          <w:szCs w:val="24"/>
          <w:lang w:val="zh-TW"/>
        </w:rPr>
        <w:t>。</w:t>
      </w:r>
      <w:r>
        <w:rPr>
          <w:rFonts w:hint="eastAsia" w:ascii="Times New Roman" w:hAnsi="Times New Roman" w:eastAsia="宋体" w:cs="Times New Roman"/>
          <w:sz w:val="24"/>
          <w:szCs w:val="24"/>
          <w:lang w:val="zh-TW"/>
        </w:rPr>
        <w:t>试验的第-1天进行随机，每名合格的受试者将按照筛选号从小到大获得随机号</w:t>
      </w:r>
      <w:r>
        <w:rPr>
          <w:rFonts w:ascii="Times New Roman" w:hAnsi="Times New Roman" w:eastAsia="宋体" w:cs="Times New Roman"/>
          <w:sz w:val="24"/>
          <w:szCs w:val="24"/>
          <w:lang w:val="zh-TW"/>
        </w:rPr>
        <w:t>。</w:t>
      </w:r>
      <w:r>
        <w:rPr>
          <w:rFonts w:hint="eastAsia" w:ascii="Times New Roman" w:hAnsi="Times New Roman" w:eastAsia="宋体" w:cs="Times New Roman"/>
          <w:sz w:val="24"/>
          <w:szCs w:val="24"/>
          <w:lang w:val="zh-TW"/>
        </w:rPr>
        <w:t>空腹试验随机号以</w:t>
      </w:r>
      <w:r>
        <w:rPr>
          <w:rFonts w:hint="eastAsia" w:ascii="Times New Roman" w:hAnsi="Times New Roman" w:eastAsia="宋体" w:cs="Times New Roman"/>
          <w:sz w:val="24"/>
          <w:szCs w:val="24"/>
        </w:rPr>
        <w:t>K</w:t>
      </w:r>
      <w:r>
        <w:rPr>
          <w:rFonts w:hint="eastAsia" w:ascii="Times New Roman" w:hAnsi="Times New Roman" w:eastAsia="宋体" w:cs="Times New Roman"/>
          <w:sz w:val="24"/>
          <w:szCs w:val="24"/>
          <w:lang w:val="zh-TW"/>
        </w:rPr>
        <w:t>+三位阿拉伯数字表示，如</w:t>
      </w:r>
      <w:r>
        <w:rPr>
          <w:rFonts w:hint="eastAsia" w:ascii="Times New Roman" w:hAnsi="Times New Roman" w:eastAsia="宋体" w:cs="Times New Roman"/>
          <w:sz w:val="24"/>
          <w:szCs w:val="24"/>
        </w:rPr>
        <w:t>K</w:t>
      </w:r>
      <w:r>
        <w:rPr>
          <w:rFonts w:hint="eastAsia" w:ascii="Times New Roman" w:hAnsi="Times New Roman" w:eastAsia="宋体" w:cs="Times New Roman"/>
          <w:sz w:val="24"/>
          <w:szCs w:val="24"/>
          <w:lang w:val="zh-TW"/>
        </w:rPr>
        <w:t>001、</w:t>
      </w:r>
      <w:r>
        <w:rPr>
          <w:rFonts w:hint="eastAsia" w:ascii="Times New Roman" w:hAnsi="Times New Roman" w:eastAsia="宋体" w:cs="Times New Roman"/>
          <w:sz w:val="24"/>
          <w:szCs w:val="24"/>
        </w:rPr>
        <w:t>K002、K003......K048</w:t>
      </w:r>
      <w:r>
        <w:rPr>
          <w:rFonts w:hint="eastAsia" w:ascii="Times New Roman" w:hAnsi="Times New Roman" w:eastAsia="宋体" w:cs="Times New Roman"/>
          <w:sz w:val="24"/>
          <w:szCs w:val="24"/>
          <w:lang w:val="zh-TW"/>
        </w:rPr>
        <w:t>，餐后试验随机号以</w:t>
      </w:r>
      <w:r>
        <w:rPr>
          <w:rFonts w:hint="eastAsia" w:ascii="Times New Roman" w:hAnsi="Times New Roman" w:eastAsia="宋体" w:cs="Times New Roman"/>
          <w:sz w:val="24"/>
          <w:szCs w:val="24"/>
        </w:rPr>
        <w:t>C</w:t>
      </w:r>
      <w:r>
        <w:rPr>
          <w:rFonts w:hint="eastAsia" w:ascii="Times New Roman" w:hAnsi="Times New Roman" w:eastAsia="宋体" w:cs="Times New Roman"/>
          <w:sz w:val="24"/>
          <w:szCs w:val="24"/>
          <w:lang w:val="zh-TW"/>
        </w:rPr>
        <w:t>+三位阿拉伯数字表示，如</w:t>
      </w:r>
      <w:r>
        <w:rPr>
          <w:rFonts w:hint="eastAsia" w:ascii="Times New Roman" w:hAnsi="Times New Roman" w:eastAsia="宋体" w:cs="Times New Roman"/>
          <w:sz w:val="24"/>
          <w:szCs w:val="24"/>
        </w:rPr>
        <w:t>C</w:t>
      </w:r>
      <w:r>
        <w:rPr>
          <w:rFonts w:hint="eastAsia" w:ascii="Times New Roman" w:hAnsi="Times New Roman" w:eastAsia="宋体" w:cs="Times New Roman"/>
          <w:sz w:val="24"/>
          <w:szCs w:val="24"/>
          <w:lang w:val="zh-TW"/>
        </w:rPr>
        <w:t>001、</w:t>
      </w:r>
      <w:r>
        <w:rPr>
          <w:rFonts w:hint="eastAsia" w:ascii="Times New Roman" w:hAnsi="Times New Roman" w:eastAsia="宋体" w:cs="Times New Roman"/>
          <w:sz w:val="24"/>
          <w:szCs w:val="24"/>
        </w:rPr>
        <w:t>C002、C003......C024</w:t>
      </w:r>
      <w:r>
        <w:rPr>
          <w:rFonts w:hint="eastAsia" w:ascii="Times New Roman" w:hAnsi="Times New Roman" w:eastAsia="宋体" w:cs="Times New Roman"/>
          <w:sz w:val="24"/>
          <w:szCs w:val="24"/>
          <w:lang w:val="zh-TW"/>
        </w:rPr>
        <w:t>。</w:t>
      </w:r>
      <w:r>
        <w:rPr>
          <w:rFonts w:ascii="Times New Roman" w:hAnsi="Times New Roman" w:eastAsia="宋体" w:cs="Times New Roman"/>
          <w:sz w:val="24"/>
          <w:szCs w:val="24"/>
          <w:lang w:val="zh-TW"/>
        </w:rPr>
        <w:t>在研究分析阶段参与样本分析的研究人员应对样本保持盲法分析，也即参与样本分析的研究人员将对随机</w:t>
      </w:r>
      <w:r>
        <w:rPr>
          <w:rFonts w:hint="eastAsia" w:ascii="Times New Roman" w:hAnsi="Times New Roman" w:eastAsia="宋体" w:cs="Times New Roman"/>
          <w:sz w:val="24"/>
          <w:szCs w:val="24"/>
        </w:rPr>
        <w:t>分配</w:t>
      </w:r>
      <w:r>
        <w:rPr>
          <w:rFonts w:ascii="Times New Roman" w:hAnsi="Times New Roman" w:eastAsia="宋体" w:cs="Times New Roman"/>
          <w:sz w:val="24"/>
          <w:szCs w:val="24"/>
          <w:lang w:val="zh-TW"/>
        </w:rPr>
        <w:t>表不知情</w:t>
      </w:r>
      <w:r>
        <w:rPr>
          <w:rFonts w:hint="eastAsia" w:ascii="Times New Roman" w:hAnsi="Times New Roman" w:eastAsia="宋体" w:cs="Times New Roman"/>
          <w:sz w:val="24"/>
          <w:szCs w:val="24"/>
          <w:lang w:val="zh-TW"/>
        </w:rPr>
        <w:t>。</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rPr>
        <w:t>因任何原因、不论是否服用了研究药物退出或被撤出临床试验的随机化志愿者，将保留其随机编号，该志愿者将不被允许再次进入该试验。</w:t>
      </w:r>
    </w:p>
    <w:p>
      <w:pPr>
        <w:pStyle w:val="49"/>
        <w:keepNext w:val="0"/>
        <w:keepLines w:val="0"/>
        <w:numPr>
          <w:ilvl w:val="2"/>
          <w:numId w:val="1"/>
        </w:numPr>
        <w:autoSpaceDE w:val="0"/>
        <w:autoSpaceDN w:val="0"/>
        <w:adjustRightInd w:val="0"/>
        <w:ind w:left="0" w:firstLine="0"/>
        <w:contextualSpacing/>
        <w:outlineLvl w:val="2"/>
        <w:rPr>
          <w:rFonts w:eastAsia="宋体"/>
          <w:color w:val="auto"/>
          <w:lang w:val="zh-TW" w:eastAsia="zh-TW"/>
        </w:rPr>
      </w:pPr>
      <w:bookmarkStart w:id="85" w:name="_Toc523500640"/>
      <w:bookmarkStart w:id="86" w:name="_Toc21007"/>
      <w:r>
        <w:rPr>
          <w:rFonts w:eastAsia="宋体"/>
          <w:color w:val="auto"/>
          <w:lang w:val="zh-TW" w:eastAsia="zh-TW"/>
        </w:rPr>
        <w:t>受试者入选条件、筛查指标和试验前教育</w:t>
      </w:r>
      <w:bookmarkEnd w:id="85"/>
      <w:bookmarkEnd w:id="86"/>
    </w:p>
    <w:p>
      <w:pPr>
        <w:widowControl w:val="0"/>
        <w:autoSpaceDE w:val="0"/>
        <w:autoSpaceDN w:val="0"/>
        <w:adjustRightInd w:val="0"/>
        <w:ind w:left="0" w:firstLine="480" w:firstLineChars="200"/>
        <w:contextualSpacing/>
        <w:rPr>
          <w:lang w:val="zh-TW" w:eastAsia="zh-CN"/>
        </w:rPr>
      </w:pPr>
      <w:r>
        <w:rPr>
          <w:rFonts w:hint="eastAsia"/>
          <w:lang w:eastAsia="zh-CN"/>
        </w:rPr>
        <w:t>本</w:t>
      </w:r>
      <w:r>
        <w:rPr>
          <w:rFonts w:hint="eastAsia"/>
          <w:lang w:val="zh-TW" w:eastAsia="zh-CN"/>
        </w:rPr>
        <w:t>试验</w:t>
      </w:r>
      <w:r>
        <w:rPr>
          <w:rFonts w:hint="eastAsia"/>
          <w:lang w:eastAsia="zh-CN"/>
        </w:rPr>
        <w:t>计划共</w:t>
      </w:r>
      <w:r>
        <w:rPr>
          <w:lang w:val="zh-TW" w:eastAsia="zh-TW"/>
        </w:rPr>
        <w:t>入组</w:t>
      </w:r>
      <w:r>
        <w:rPr>
          <w:rFonts w:hint="eastAsia"/>
          <w:lang w:eastAsia="zh-CN"/>
        </w:rPr>
        <w:t>72</w:t>
      </w:r>
      <w:r>
        <w:rPr>
          <w:lang w:val="zh-TW" w:eastAsia="zh-TW"/>
        </w:rPr>
        <w:t>例健康受试者。</w:t>
      </w:r>
      <w:r>
        <w:rPr>
          <w:lang w:eastAsia="zh-CN"/>
        </w:rPr>
        <w:t>在提供书面知情同意后，受试者将在接受研究用药前</w:t>
      </w:r>
      <w:r>
        <w:rPr>
          <w:rFonts w:hint="eastAsia"/>
          <w:lang w:eastAsia="zh-CN"/>
        </w:rPr>
        <w:t>14</w:t>
      </w:r>
      <w:r>
        <w:rPr>
          <w:lang w:eastAsia="zh-CN"/>
        </w:rPr>
        <w:t>天内进行完整的医学检查，包括如下：</w:t>
      </w:r>
    </w:p>
    <w:p>
      <w:pPr>
        <w:widowControl w:val="0"/>
        <w:autoSpaceDE w:val="0"/>
        <w:autoSpaceDN w:val="0"/>
        <w:adjustRightInd w:val="0"/>
        <w:ind w:left="0" w:firstLine="472" w:firstLineChars="196"/>
        <w:contextualSpacing/>
        <w:rPr>
          <w:lang w:val="zh-TW" w:eastAsia="zh-CN"/>
        </w:rPr>
      </w:pPr>
      <w:r>
        <w:rPr>
          <w:b/>
          <w:lang w:val="zh-TW" w:eastAsia="zh-CN"/>
        </w:rPr>
        <w:t>一般情况、病史及过敏史：</w:t>
      </w:r>
      <w:r>
        <w:rPr>
          <w:lang w:val="zh-TW" w:eastAsia="zh-CN"/>
        </w:rPr>
        <w:t>人口学数据（包括姓名、性别、年龄、民族、吸烟和饮酒习惯），体格检查（</w:t>
      </w:r>
      <w:r>
        <w:rPr>
          <w:lang w:eastAsia="zh-CN"/>
        </w:rPr>
        <w:t>皮肤</w:t>
      </w:r>
      <w:r>
        <w:rPr>
          <w:rFonts w:hint="eastAsia"/>
          <w:lang w:eastAsia="zh-CN"/>
        </w:rPr>
        <w:t>、</w:t>
      </w:r>
      <w:r>
        <w:rPr>
          <w:lang w:eastAsia="zh-CN"/>
        </w:rPr>
        <w:t>粘膜、淋巴结、</w:t>
      </w:r>
      <w:r>
        <w:rPr>
          <w:rFonts w:hint="eastAsia"/>
          <w:lang w:eastAsia="zh-CN"/>
        </w:rPr>
        <w:t>头部、</w:t>
      </w:r>
      <w:r>
        <w:rPr>
          <w:lang w:eastAsia="zh-CN"/>
        </w:rPr>
        <w:t>颈部、胸部、腹部、</w:t>
      </w:r>
      <w:r>
        <w:rPr>
          <w:lang w:val="zh-TW" w:eastAsia="zh-CN"/>
        </w:rPr>
        <w:t>脊柱/四肢</w:t>
      </w:r>
      <w:r>
        <w:rPr>
          <w:lang w:eastAsia="zh-CN"/>
        </w:rPr>
        <w:t>及其他部位</w:t>
      </w:r>
      <w:r>
        <w:rPr>
          <w:lang w:val="zh-TW" w:eastAsia="zh-CN"/>
        </w:rPr>
        <w:t>）、病史（所有诊断的急性和慢性医疗状况以及以往手术情况）、药物或食物过敏史。</w:t>
      </w:r>
    </w:p>
    <w:p>
      <w:pPr>
        <w:widowControl w:val="0"/>
        <w:autoSpaceDE w:val="0"/>
        <w:autoSpaceDN w:val="0"/>
        <w:adjustRightInd w:val="0"/>
        <w:ind w:left="0" w:firstLine="472" w:firstLineChars="196"/>
        <w:contextualSpacing/>
        <w:rPr>
          <w:lang w:val="zh-TW" w:eastAsia="zh-CN"/>
        </w:rPr>
      </w:pPr>
      <w:r>
        <w:rPr>
          <w:b/>
          <w:lang w:val="zh-TW" w:eastAsia="zh-CN"/>
        </w:rPr>
        <w:t>体检及实验室检查：</w:t>
      </w:r>
      <w:r>
        <w:rPr>
          <w:rFonts w:hint="eastAsia"/>
          <w:lang w:val="zh-TW" w:eastAsia="zh-CN"/>
        </w:rPr>
        <w:t>坐位</w:t>
      </w:r>
      <w:r>
        <w:rPr>
          <w:lang w:val="zh-TW" w:eastAsia="zh-CN"/>
        </w:rPr>
        <w:t>生命体征评估（体温、脉搏及</w:t>
      </w:r>
      <w:r>
        <w:rPr>
          <w:rFonts w:hint="eastAsia"/>
          <w:lang w:val="zh-TW" w:eastAsia="zh-CN"/>
        </w:rPr>
        <w:t>坐位</w:t>
      </w:r>
      <w:r>
        <w:rPr>
          <w:lang w:val="zh-TW" w:eastAsia="zh-CN"/>
        </w:rPr>
        <w:t>血压）、12</w:t>
      </w:r>
      <w:r>
        <w:rPr>
          <w:rFonts w:hint="eastAsia"/>
          <w:lang w:val="zh-TW" w:eastAsia="zh-CN"/>
        </w:rPr>
        <w:t>-</w:t>
      </w:r>
      <w:r>
        <w:rPr>
          <w:lang w:val="zh-TW" w:eastAsia="zh-CN"/>
        </w:rPr>
        <w:t>导联心电图、临床实验室检测（血生化、血常规、尿常规、</w:t>
      </w:r>
      <w:r>
        <w:rPr>
          <w:rFonts w:hint="eastAsia"/>
          <w:lang w:val="en-US" w:eastAsia="zh-CN"/>
        </w:rPr>
        <w:t>凝血功能、</w:t>
      </w:r>
      <w:r>
        <w:rPr>
          <w:rFonts w:hint="eastAsia"/>
          <w:lang w:val="zh-TW" w:eastAsia="zh-CN"/>
        </w:rPr>
        <w:t>输血四项</w:t>
      </w:r>
      <w:r>
        <w:rPr>
          <w:lang w:val="zh-TW" w:eastAsia="zh-CN"/>
        </w:rPr>
        <w:t>等）、血妊娠（</w:t>
      </w:r>
      <w:r>
        <w:rPr>
          <w:rFonts w:hint="eastAsia"/>
          <w:lang w:val="zh-TW" w:eastAsia="zh-CN"/>
        </w:rPr>
        <w:t>仅</w:t>
      </w:r>
      <w:r>
        <w:rPr>
          <w:lang w:val="zh-TW" w:eastAsia="zh-CN"/>
        </w:rPr>
        <w:t>育龄期女性）</w:t>
      </w:r>
      <w:r>
        <w:rPr>
          <w:rFonts w:hint="eastAsia"/>
          <w:lang w:val="zh-TW" w:eastAsia="zh-CN"/>
        </w:rPr>
        <w:t>、</w:t>
      </w:r>
      <w:r>
        <w:rPr>
          <w:rFonts w:hint="eastAsia" w:ascii="宋体" w:hAnsi="宋体"/>
          <w:color w:val="000000"/>
          <w:lang w:eastAsia="zh-CN"/>
        </w:rPr>
        <w:t>药物滥用筛查、</w:t>
      </w:r>
      <w:r>
        <w:rPr>
          <w:rFonts w:hint="eastAsia" w:ascii="宋体" w:hAnsi="宋体"/>
          <w:color w:val="000000"/>
          <w:lang w:val="en-US" w:eastAsia="zh-CN"/>
        </w:rPr>
        <w:t>酒精呼气检测</w:t>
      </w:r>
      <w:r>
        <w:rPr>
          <w:rFonts w:hint="eastAsia" w:ascii="宋体" w:hAnsi="宋体"/>
          <w:color w:val="000000"/>
          <w:lang w:eastAsia="zh-CN"/>
        </w:rPr>
        <w:t>等</w:t>
      </w:r>
      <w:r>
        <w:rPr>
          <w:lang w:val="zh-TW" w:eastAsia="zh-CN"/>
        </w:rPr>
        <w:t>。</w:t>
      </w:r>
    </w:p>
    <w:p>
      <w:pPr>
        <w:widowControl w:val="0"/>
        <w:autoSpaceDE w:val="0"/>
        <w:autoSpaceDN w:val="0"/>
        <w:adjustRightInd w:val="0"/>
        <w:ind w:left="0" w:firstLine="470" w:firstLineChars="196"/>
        <w:contextualSpacing/>
        <w:rPr>
          <w:lang w:val="zh-TW" w:eastAsia="zh-CN"/>
        </w:rPr>
      </w:pPr>
      <w:r>
        <w:rPr>
          <w:lang w:val="zh-TW" w:eastAsia="zh-CN"/>
        </w:rPr>
        <w:t>试验开始前研究者向受试者进行宣教，告知受试者试验中的要求和管理措施，包括：受试者在住院观察期禁止随意出入</w:t>
      </w:r>
      <w:r>
        <w:rPr>
          <w:rFonts w:hint="eastAsia"/>
          <w:lang w:eastAsia="zh-CN"/>
        </w:rPr>
        <w:t>研究中心</w:t>
      </w:r>
      <w:r>
        <w:rPr>
          <w:lang w:val="zh-TW" w:eastAsia="zh-CN"/>
        </w:rPr>
        <w:t>，禁止自带饮食，禁止吸烟、饮酒及体育活动、禁止剧烈活动等。</w:t>
      </w:r>
    </w:p>
    <w:p>
      <w:pPr>
        <w:pStyle w:val="49"/>
        <w:keepNext w:val="0"/>
        <w:keepLines w:val="0"/>
        <w:numPr>
          <w:ilvl w:val="2"/>
          <w:numId w:val="1"/>
        </w:numPr>
        <w:autoSpaceDE w:val="0"/>
        <w:autoSpaceDN w:val="0"/>
        <w:adjustRightInd w:val="0"/>
        <w:ind w:left="0" w:firstLine="0"/>
        <w:contextualSpacing/>
        <w:outlineLvl w:val="2"/>
        <w:rPr>
          <w:rFonts w:eastAsia="宋体"/>
          <w:color w:val="auto"/>
          <w:lang w:val="zh-TW" w:eastAsia="zh-TW"/>
        </w:rPr>
      </w:pPr>
      <w:bookmarkStart w:id="87" w:name="_Toc523500641"/>
      <w:bookmarkStart w:id="88" w:name="_Toc32446"/>
      <w:r>
        <w:rPr>
          <w:rFonts w:eastAsia="宋体"/>
          <w:color w:val="auto"/>
          <w:lang w:val="zh-TW" w:eastAsia="zh-TW"/>
        </w:rPr>
        <w:t>试验过程简介</w:t>
      </w:r>
      <w:bookmarkEnd w:id="87"/>
      <w:bookmarkEnd w:id="88"/>
    </w:p>
    <w:p>
      <w:pPr>
        <w:pStyle w:val="50"/>
        <w:autoSpaceDE w:val="0"/>
        <w:autoSpaceDN w:val="0"/>
        <w:adjustRightInd w:val="0"/>
        <w:ind w:left="0" w:firstLine="480" w:firstLineChars="200"/>
        <w:contextualSpacing/>
        <w:rPr>
          <w:rFonts w:eastAsia="宋体"/>
          <w:color w:val="auto"/>
          <w:lang w:val="zh-TW" w:eastAsia="zh-TW"/>
        </w:rPr>
      </w:pPr>
      <w:r>
        <w:rPr>
          <w:rFonts w:eastAsia="宋体"/>
          <w:color w:val="auto"/>
          <w:kern w:val="0"/>
          <w:lang w:val="zh-TW" w:eastAsia="zh-TW"/>
        </w:rPr>
        <w:t>筛选</w:t>
      </w:r>
      <w:r>
        <w:rPr>
          <w:rFonts w:eastAsia="宋体"/>
          <w:color w:val="auto"/>
          <w:lang w:val="zh-TW" w:eastAsia="zh-TW"/>
        </w:rPr>
        <w:t>期：在给药前</w:t>
      </w:r>
      <w:r>
        <w:rPr>
          <w:rFonts w:hint="eastAsia" w:eastAsia="宋体"/>
          <w:color w:val="auto"/>
        </w:rPr>
        <w:t>14</w:t>
      </w:r>
      <w:r>
        <w:rPr>
          <w:rFonts w:eastAsia="宋体"/>
          <w:color w:val="auto"/>
          <w:lang w:val="zh-TW" w:eastAsia="zh-TW"/>
        </w:rPr>
        <w:t>天至给药前</w:t>
      </w:r>
      <w:r>
        <w:rPr>
          <w:rFonts w:eastAsia="宋体"/>
          <w:color w:val="auto"/>
        </w:rPr>
        <w:t>1</w:t>
      </w:r>
      <w:r>
        <w:rPr>
          <w:rFonts w:eastAsia="宋体"/>
          <w:color w:val="auto"/>
          <w:lang w:val="zh-TW" w:eastAsia="zh-TW"/>
        </w:rPr>
        <w:t>天，健康受试者进行筛选检查。</w:t>
      </w:r>
    </w:p>
    <w:p>
      <w:pPr>
        <w:ind w:left="720" w:leftChars="200" w:hanging="240" w:hangingChars="100"/>
        <w:rPr>
          <w:rFonts w:hint="eastAsia"/>
          <w:lang w:val="zh-TW" w:eastAsia="zh-CN"/>
        </w:rPr>
      </w:pPr>
      <w:bookmarkStart w:id="89" w:name="_Toc446058148"/>
      <w:r>
        <w:rPr>
          <w:rFonts w:hint="eastAsia"/>
          <w:lang w:val="zh-TW" w:eastAsia="zh-CN"/>
        </w:rPr>
        <w:t>试验</w:t>
      </w:r>
      <w:r>
        <w:rPr>
          <w:rFonts w:hint="eastAsia"/>
          <w:lang w:val="zh-TW" w:eastAsia="zh-TW"/>
        </w:rPr>
        <w:t>期：</w:t>
      </w:r>
      <w:r>
        <w:rPr>
          <w:rFonts w:hint="eastAsia"/>
          <w:lang w:val="zh-TW" w:eastAsia="zh-CN"/>
        </w:rPr>
        <w:t>本试验分为空腹试验和餐后试验，空腹试验计划入组48名受试者，餐后</w:t>
      </w:r>
    </w:p>
    <w:p>
      <w:pPr>
        <w:rPr>
          <w:rFonts w:hint="eastAsia"/>
          <w:lang w:val="zh-TW" w:eastAsia="zh-TW"/>
        </w:rPr>
      </w:pPr>
      <w:r>
        <w:rPr>
          <w:rFonts w:hint="eastAsia"/>
          <w:lang w:val="zh-TW" w:eastAsia="zh-CN"/>
        </w:rPr>
        <w:t>试验计划入组24名受试者。</w:t>
      </w:r>
      <w:r>
        <w:rPr>
          <w:rFonts w:hint="eastAsia"/>
          <w:lang w:val="zh-TW" w:eastAsia="zh-TW"/>
        </w:rPr>
        <w:t>合格的健康受试者进入</w:t>
      </w:r>
      <w:r>
        <w:rPr>
          <w:rFonts w:hint="eastAsia"/>
          <w:lang w:val="zh-TW" w:eastAsia="zh-CN"/>
        </w:rPr>
        <w:t>试验</w:t>
      </w:r>
      <w:r>
        <w:rPr>
          <w:rFonts w:hint="eastAsia"/>
          <w:lang w:val="zh-TW" w:eastAsia="zh-TW"/>
        </w:rPr>
        <w:t>，随机分为两组，交叉给予受</w:t>
      </w:r>
    </w:p>
    <w:p>
      <w:pPr>
        <w:rPr>
          <w:rFonts w:hint="eastAsia"/>
          <w:lang w:val="zh-TW" w:eastAsia="zh-TW"/>
        </w:rPr>
      </w:pPr>
      <w:r>
        <w:rPr>
          <w:rFonts w:hint="eastAsia"/>
          <w:lang w:val="zh-TW" w:eastAsia="zh-TW"/>
        </w:rPr>
        <w:t>试制剂和/或参比制剂。受试者按以下流程完成本试验：每周期受试者将在服药前1天</w:t>
      </w:r>
    </w:p>
    <w:p>
      <w:pPr>
        <w:rPr>
          <w:rFonts w:hint="eastAsia"/>
          <w:lang w:val="zh-TW" w:eastAsia="zh-TW"/>
        </w:rPr>
      </w:pPr>
      <w:r>
        <w:rPr>
          <w:rFonts w:hint="eastAsia"/>
          <w:lang w:val="zh-TW" w:eastAsia="zh-TW"/>
        </w:rPr>
        <w:t>到临床试验中心报到。在每周期给药第1天，受试者隔夜空腹至少10个小时后，按照</w:t>
      </w:r>
    </w:p>
    <w:p>
      <w:pPr>
        <w:rPr>
          <w:rFonts w:hint="eastAsia"/>
          <w:lang w:val="zh-TW" w:eastAsia="zh-CN"/>
        </w:rPr>
      </w:pPr>
      <w:r>
        <w:rPr>
          <w:rFonts w:hint="eastAsia"/>
          <w:lang w:val="zh-TW" w:eastAsia="zh-CN"/>
        </w:rPr>
        <w:t>随机结果</w:t>
      </w:r>
      <w:r>
        <w:rPr>
          <w:rFonts w:hint="eastAsia"/>
          <w:lang w:val="zh-TW" w:eastAsia="zh-TW"/>
        </w:rPr>
        <w:t>，</w:t>
      </w:r>
      <w:r>
        <w:rPr>
          <w:rFonts w:hint="eastAsia"/>
          <w:lang w:val="zh-TW" w:eastAsia="zh-CN"/>
        </w:rPr>
        <w:t>空腹或餐后</w:t>
      </w:r>
      <w:r>
        <w:rPr>
          <w:rFonts w:hint="eastAsia"/>
          <w:lang w:val="zh-TW" w:eastAsia="zh-TW"/>
        </w:rPr>
        <w:t>服用相应受试制剂或参比制剂，用240mL</w:t>
      </w:r>
      <w:r>
        <w:rPr>
          <w:rFonts w:hint="eastAsia"/>
          <w:lang w:val="zh-TW" w:eastAsia="zh-CN"/>
        </w:rPr>
        <w:t>温水</w:t>
      </w:r>
      <w:r>
        <w:rPr>
          <w:rFonts w:hint="eastAsia"/>
          <w:lang w:val="zh-TW" w:eastAsia="zh-TW"/>
        </w:rPr>
        <w:t>送服</w:t>
      </w:r>
      <w:r>
        <w:rPr>
          <w:rFonts w:hint="eastAsia"/>
          <w:lang w:val="zh-TW" w:eastAsia="zh-CN"/>
        </w:rPr>
        <w:t>，餐后试验</w:t>
      </w:r>
    </w:p>
    <w:p>
      <w:pPr>
        <w:rPr>
          <w:rFonts w:hint="eastAsia"/>
          <w:lang w:val="zh-TW" w:eastAsia="zh-TW"/>
        </w:rPr>
      </w:pPr>
      <w:r>
        <w:rPr>
          <w:rFonts w:hint="eastAsia"/>
          <w:lang w:val="zh-TW" w:eastAsia="zh-CN"/>
        </w:rPr>
        <w:t>的</w:t>
      </w:r>
      <w:r>
        <w:rPr>
          <w:rFonts w:hint="eastAsia"/>
          <w:lang w:val="zh-TW" w:eastAsia="zh-TW"/>
        </w:rPr>
        <w:t>受试者需要在服用研究药物前30min开始进食高脂餐，控制进餐速度，高脂餐要在</w:t>
      </w:r>
    </w:p>
    <w:p>
      <w:pPr>
        <w:rPr>
          <w:rFonts w:hint="eastAsia"/>
          <w:lang w:val="zh-TW" w:eastAsia="zh-TW"/>
        </w:rPr>
      </w:pPr>
      <w:r>
        <w:rPr>
          <w:rFonts w:hint="eastAsia"/>
          <w:lang w:val="zh-TW" w:eastAsia="zh-TW"/>
        </w:rPr>
        <w:t>进餐开始后30min内吃完，研究药物要在进餐后且以开始进餐时间计时的（30±0.5）</w:t>
      </w:r>
    </w:p>
    <w:p>
      <w:pPr>
        <w:pStyle w:val="8"/>
        <w:ind w:left="0" w:leftChars="0" w:firstLine="0" w:firstLineChars="0"/>
        <w:jc w:val="both"/>
        <w:rPr>
          <w:rFonts w:hint="default" w:ascii="Times New Roman" w:hAnsi="Times New Roman" w:eastAsia="宋体" w:cs="Times New Roman"/>
          <w:kern w:val="0"/>
          <w:sz w:val="24"/>
          <w:szCs w:val="24"/>
          <w:lang w:eastAsia="zh-CN"/>
        </w:rPr>
      </w:pPr>
      <w:r>
        <w:rPr>
          <w:rFonts w:hint="eastAsia"/>
          <w:lang w:val="zh-TW" w:eastAsia="zh-TW"/>
        </w:rPr>
        <w:t>min内服用。</w:t>
      </w:r>
      <w:bookmarkEnd w:id="89"/>
      <w:r>
        <w:rPr>
          <w:rFonts w:hint="default" w:ascii="Times New Roman" w:hAnsi="Times New Roman" w:eastAsia="宋体" w:cs="Times New Roman"/>
          <w:sz w:val="24"/>
          <w:szCs w:val="24"/>
        </w:rPr>
        <w:t>受试者在采完药动学血样并完成相关检查后，可获准从药物临床试验研究中心离开。第二周期操作程序同第一周期。</w:t>
      </w:r>
      <w:r>
        <w:rPr>
          <w:rFonts w:hint="default" w:ascii="Times New Roman" w:hAnsi="Times New Roman" w:eastAsia="宋体" w:cs="Times New Roman"/>
          <w:kern w:val="0"/>
          <w:sz w:val="24"/>
          <w:szCs w:val="24"/>
          <w:lang w:eastAsia="zh-CN"/>
        </w:rPr>
        <w:t>如果受试者在研究结束后仍然有未解决的不良事件/反应、具有临床意义的体检异常和/或实验室检查异常，应当安排相应的随访。</w:t>
      </w:r>
      <w:r>
        <w:rPr>
          <w:rFonts w:hint="default"/>
          <w:lang w:eastAsia="zh-CN"/>
        </w:rPr>
        <w:t>受试者出组后（包括提前出组）后一周内若发生后续的不良事件，</w:t>
      </w:r>
      <w:r>
        <w:rPr>
          <w:rFonts w:hint="eastAsia"/>
          <w:lang w:val="en-US" w:eastAsia="zh-CN"/>
        </w:rPr>
        <w:t>应主动告知研究者</w:t>
      </w:r>
      <w:r>
        <w:rPr>
          <w:rFonts w:hint="default"/>
          <w:lang w:eastAsia="zh-CN"/>
        </w:rPr>
        <w:t>。</w:t>
      </w:r>
    </w:p>
    <w:p>
      <w:pPr>
        <w:pStyle w:val="50"/>
        <w:autoSpaceDE w:val="0"/>
        <w:autoSpaceDN w:val="0"/>
        <w:adjustRightInd w:val="0"/>
        <w:ind w:left="0" w:firstLine="480" w:firstLineChars="200"/>
        <w:contextualSpacing/>
        <w:jc w:val="left"/>
        <w:rPr>
          <w:rFonts w:eastAsia="宋体"/>
        </w:rPr>
      </w:pPr>
      <w:r>
        <w:rPr>
          <w:rFonts w:hint="eastAsia" w:eastAsia="宋体"/>
          <w:color w:val="auto"/>
          <w:kern w:val="0"/>
          <w:lang w:val="zh-TW" w:eastAsia="zh-TW"/>
        </w:rPr>
        <w:t>饮食</w:t>
      </w:r>
      <w:r>
        <w:rPr>
          <w:rFonts w:hint="eastAsia" w:eastAsia="宋体"/>
          <w:color w:val="auto"/>
          <w:kern w:val="0"/>
        </w:rPr>
        <w:t>饮水</w:t>
      </w:r>
      <w:r>
        <w:rPr>
          <w:rFonts w:hint="eastAsia" w:eastAsia="宋体"/>
          <w:color w:val="auto"/>
          <w:kern w:val="0"/>
          <w:lang w:val="zh-TW" w:eastAsia="zh-TW"/>
        </w:rPr>
        <w:t>要求：服药前1h</w:t>
      </w:r>
      <w:r>
        <w:rPr>
          <w:rFonts w:hint="eastAsia" w:eastAsia="宋体"/>
          <w:color w:val="auto"/>
          <w:kern w:val="0"/>
        </w:rPr>
        <w:t>至服</w:t>
      </w:r>
      <w:r>
        <w:rPr>
          <w:rFonts w:hint="eastAsia" w:eastAsia="宋体"/>
          <w:color w:val="auto"/>
          <w:kern w:val="0"/>
          <w:lang w:val="zh-TW" w:eastAsia="zh-TW"/>
        </w:rPr>
        <w:t>药后1h内禁止饮水（</w:t>
      </w:r>
      <w:r>
        <w:rPr>
          <w:rFonts w:hint="eastAsia" w:eastAsia="宋体"/>
          <w:color w:val="auto"/>
          <w:kern w:val="0"/>
        </w:rPr>
        <w:t>服药饮水和</w:t>
      </w:r>
      <w:r>
        <w:rPr>
          <w:rFonts w:hint="eastAsia" w:eastAsia="宋体"/>
          <w:color w:val="auto"/>
          <w:kern w:val="0"/>
          <w:lang w:val="zh-TW" w:eastAsia="zh-TW"/>
        </w:rPr>
        <w:t>高脂餐</w:t>
      </w:r>
      <w:r>
        <w:rPr>
          <w:rFonts w:hint="eastAsia" w:eastAsia="宋体"/>
          <w:color w:val="auto"/>
          <w:kern w:val="0"/>
        </w:rPr>
        <w:t>饮品</w:t>
      </w:r>
      <w:r>
        <w:rPr>
          <w:rFonts w:hint="eastAsia" w:eastAsia="宋体"/>
          <w:color w:val="auto"/>
          <w:kern w:val="0"/>
          <w:lang w:val="zh-TW" w:eastAsia="zh-TW"/>
        </w:rPr>
        <w:t>除外），服药4小时和10小时后进食统一标准餐。每个周期的用餐计划应保持一致。</w:t>
      </w:r>
      <w:bookmarkStart w:id="90" w:name="_Toc446058149"/>
      <w:r>
        <w:rPr>
          <w:rFonts w:hint="eastAsia" w:eastAsia="宋体"/>
          <w:color w:val="auto"/>
          <w:kern w:val="0"/>
          <w:lang w:val="zh-TW" w:eastAsia="zh-TW"/>
        </w:rPr>
        <w:t>受试者服药前48小时及试验过程中不</w:t>
      </w:r>
      <w:r>
        <w:rPr>
          <w:rFonts w:hint="eastAsia" w:eastAsia="宋体"/>
          <w:color w:val="auto"/>
          <w:kern w:val="0"/>
          <w:lang w:val="zh-TW"/>
        </w:rPr>
        <w:t>食用</w:t>
      </w:r>
      <w:r>
        <w:rPr>
          <w:rFonts w:hint="eastAsia" w:cs="宋体"/>
          <w:lang w:val="zh-TW"/>
        </w:rPr>
        <w:t>任何含有咖啡因的食物或饮料（如咖啡、巧克力等）</w:t>
      </w:r>
      <w:r>
        <w:rPr>
          <w:rFonts w:hint="eastAsia"/>
        </w:rPr>
        <w:t>或含有酒精的食物或饮料</w:t>
      </w:r>
      <w:r>
        <w:rPr>
          <w:rFonts w:hint="eastAsia" w:cs="宋体"/>
        </w:rPr>
        <w:t>，以及</w:t>
      </w:r>
      <w:r>
        <w:rPr>
          <w:rFonts w:hint="eastAsia" w:eastAsia="宋体"/>
          <w:lang w:val="zh-TW"/>
        </w:rPr>
        <w:t>葡萄柚（西柚）</w:t>
      </w:r>
      <w:r>
        <w:rPr>
          <w:rFonts w:hint="eastAsia" w:eastAsia="宋体"/>
        </w:rPr>
        <w:t>及其制成的饮料</w:t>
      </w:r>
      <w:r>
        <w:rPr>
          <w:rFonts w:hint="eastAsia"/>
        </w:rPr>
        <w:t>，</w:t>
      </w:r>
      <w:r>
        <w:rPr>
          <w:rFonts w:hint="eastAsia" w:eastAsia="宋体"/>
          <w:color w:val="auto"/>
          <w:kern w:val="0"/>
          <w:lang w:val="zh-TW" w:eastAsia="zh-TW"/>
        </w:rPr>
        <w:t>在住院期间按指定的时间摄取指定的食物，不摄取除此以外的饮食。</w:t>
      </w:r>
    </w:p>
    <w:p>
      <w:pPr>
        <w:pStyle w:val="50"/>
        <w:autoSpaceDE w:val="0"/>
        <w:autoSpaceDN w:val="0"/>
        <w:adjustRightInd w:val="0"/>
        <w:ind w:left="0" w:firstLine="480" w:firstLineChars="200"/>
        <w:contextualSpacing/>
        <w:rPr>
          <w:rFonts w:eastAsia="宋体"/>
          <w:color w:val="auto"/>
          <w:lang w:val="zh-TW" w:eastAsia="zh-TW"/>
        </w:rPr>
      </w:pPr>
      <w:r>
        <w:rPr>
          <w:rFonts w:eastAsia="宋体"/>
          <w:color w:val="auto"/>
          <w:kern w:val="0"/>
          <w:lang w:val="zh-TW" w:eastAsia="zh-TW"/>
        </w:rPr>
        <w:t>体位及活动限制</w:t>
      </w:r>
      <w:bookmarkEnd w:id="90"/>
      <w:r>
        <w:rPr>
          <w:rFonts w:eastAsia="宋体"/>
          <w:color w:val="auto"/>
          <w:kern w:val="0"/>
          <w:lang w:val="zh-TW" w:eastAsia="zh-TW"/>
        </w:rPr>
        <w:t>：</w:t>
      </w:r>
      <w:r>
        <w:rPr>
          <w:rFonts w:eastAsia="宋体"/>
          <w:color w:val="auto"/>
          <w:lang w:val="zh-TW" w:eastAsia="zh-TW"/>
        </w:rPr>
        <w:t>受试者服药后避免剧烈运动，取血样在临床监护条件下进行，并由富有经验的医生实施监护。每周期用药当天，在给药后</w:t>
      </w:r>
      <w:r>
        <w:rPr>
          <w:rFonts w:hint="eastAsia" w:eastAsia="宋体"/>
          <w:color w:val="auto"/>
          <w:lang w:val="zh-TW"/>
        </w:rPr>
        <w:t>4</w:t>
      </w:r>
      <w:r>
        <w:rPr>
          <w:rFonts w:eastAsia="宋体"/>
          <w:color w:val="auto"/>
          <w:lang w:val="zh-TW" w:eastAsia="zh-TW"/>
        </w:rPr>
        <w:t>h内受试者需保持</w:t>
      </w:r>
      <w:r>
        <w:rPr>
          <w:rFonts w:eastAsia="宋体"/>
          <w:color w:val="auto"/>
          <w:lang w:val="zh-TW"/>
        </w:rPr>
        <w:t>上身直立位</w:t>
      </w:r>
      <w:r>
        <w:rPr>
          <w:rFonts w:eastAsia="宋体"/>
          <w:color w:val="auto"/>
          <w:lang w:val="zh-TW" w:eastAsia="zh-TW"/>
        </w:rPr>
        <w:t>。</w:t>
      </w:r>
    </w:p>
    <w:p>
      <w:pPr>
        <w:pStyle w:val="50"/>
        <w:autoSpaceDE w:val="0"/>
        <w:autoSpaceDN w:val="0"/>
        <w:adjustRightInd w:val="0"/>
        <w:ind w:left="0" w:firstLine="480" w:firstLineChars="200"/>
        <w:contextualSpacing/>
        <w:rPr>
          <w:rFonts w:eastAsia="宋体"/>
          <w:color w:val="auto"/>
          <w:lang w:val="zh-TW" w:eastAsia="zh-TW"/>
        </w:rPr>
      </w:pPr>
      <w:bookmarkStart w:id="91" w:name="_Toc446058150"/>
      <w:r>
        <w:rPr>
          <w:rFonts w:eastAsia="宋体"/>
          <w:color w:val="auto"/>
          <w:kern w:val="0"/>
          <w:lang w:val="zh-TW" w:eastAsia="zh-TW"/>
        </w:rPr>
        <w:t>伴随用药</w:t>
      </w:r>
      <w:bookmarkEnd w:id="91"/>
      <w:r>
        <w:rPr>
          <w:rFonts w:eastAsia="宋体"/>
          <w:color w:val="auto"/>
          <w:kern w:val="0"/>
          <w:lang w:val="zh-TW" w:eastAsia="zh-TW"/>
        </w:rPr>
        <w:t>：</w:t>
      </w:r>
      <w:r>
        <w:rPr>
          <w:rFonts w:eastAsia="宋体"/>
          <w:color w:val="auto"/>
          <w:lang w:val="zh-TW" w:eastAsia="zh-TW"/>
        </w:rPr>
        <w:t>除了处理不良事件或治疗突发疾病，</w:t>
      </w:r>
      <w:r>
        <w:rPr>
          <w:rFonts w:hint="eastAsia" w:eastAsia="宋体"/>
          <w:color w:val="auto"/>
          <w:lang w:val="zh-TW"/>
        </w:rPr>
        <w:t>试验</w:t>
      </w:r>
      <w:r>
        <w:rPr>
          <w:rFonts w:eastAsia="宋体"/>
          <w:color w:val="auto"/>
          <w:lang w:val="zh-TW" w:eastAsia="zh-TW"/>
        </w:rPr>
        <w:t>期间不允许使用任何治疗药物。一旦受试者在</w:t>
      </w:r>
      <w:r>
        <w:rPr>
          <w:rFonts w:hint="eastAsia" w:eastAsia="宋体"/>
          <w:color w:val="auto"/>
          <w:lang w:val="zh-TW"/>
        </w:rPr>
        <w:t>试验</w:t>
      </w:r>
      <w:r>
        <w:rPr>
          <w:rFonts w:eastAsia="宋体"/>
          <w:color w:val="auto"/>
          <w:lang w:val="zh-TW" w:eastAsia="zh-TW"/>
        </w:rPr>
        <w:t>期间</w:t>
      </w:r>
      <w:r>
        <w:rPr>
          <w:rFonts w:hint="eastAsia" w:eastAsia="宋体"/>
          <w:color w:val="auto"/>
          <w:lang w:val="zh-TW"/>
        </w:rPr>
        <w:t>（</w:t>
      </w:r>
      <w:r>
        <w:rPr>
          <w:rFonts w:eastAsia="宋体"/>
          <w:color w:val="auto"/>
          <w:lang w:val="zh-TW" w:eastAsia="zh-TW"/>
        </w:rPr>
        <w:t>包括清洗期</w:t>
      </w:r>
      <w:r>
        <w:rPr>
          <w:rFonts w:hint="eastAsia" w:eastAsia="宋体"/>
          <w:color w:val="auto"/>
          <w:lang w:val="zh-TW"/>
        </w:rPr>
        <w:t>）</w:t>
      </w:r>
      <w:r>
        <w:rPr>
          <w:rFonts w:eastAsia="宋体"/>
          <w:color w:val="auto"/>
          <w:lang w:val="zh-TW" w:eastAsia="zh-TW"/>
        </w:rPr>
        <w:t>需要使用非试验药物，研究者将决定该受试者是否继续本试验，依据如下：取决于所使用的非试验药物是否与试验药物有相互作用；取决于所使用的非试验药物的作用和消除时间。</w:t>
      </w:r>
    </w:p>
    <w:p>
      <w:pPr>
        <w:pStyle w:val="50"/>
        <w:autoSpaceDE w:val="0"/>
        <w:autoSpaceDN w:val="0"/>
        <w:adjustRightInd w:val="0"/>
        <w:ind w:left="0" w:firstLine="480" w:firstLineChars="200"/>
        <w:contextualSpacing/>
        <w:rPr>
          <w:rFonts w:eastAsia="宋体"/>
          <w:color w:val="auto"/>
          <w:lang w:val="zh-TW"/>
        </w:rPr>
      </w:pPr>
      <w:bookmarkStart w:id="92" w:name="_Toc446058152"/>
      <w:r>
        <w:rPr>
          <w:rFonts w:eastAsia="宋体"/>
          <w:color w:val="auto"/>
          <w:kern w:val="0"/>
          <w:lang w:val="zh-TW" w:eastAsia="zh-TW"/>
        </w:rPr>
        <w:t>避孕要求</w:t>
      </w:r>
      <w:bookmarkEnd w:id="92"/>
      <w:r>
        <w:rPr>
          <w:rFonts w:eastAsia="宋体"/>
          <w:color w:val="auto"/>
          <w:kern w:val="0"/>
          <w:lang w:val="zh-TW"/>
        </w:rPr>
        <w:t>：</w:t>
      </w:r>
      <w:r>
        <w:rPr>
          <w:rFonts w:eastAsia="宋体"/>
          <w:color w:val="auto"/>
          <w:lang w:val="zh-TW" w:eastAsia="zh-TW"/>
        </w:rPr>
        <w:t>受试者应保证在</w:t>
      </w:r>
      <w:r>
        <w:rPr>
          <w:rFonts w:hint="eastAsia" w:eastAsia="宋体"/>
          <w:color w:val="auto"/>
          <w:lang w:val="zh-TW" w:eastAsia="zh-TW"/>
        </w:rPr>
        <w:t>筛选期</w:t>
      </w:r>
      <w:r>
        <w:rPr>
          <w:rFonts w:eastAsia="宋体"/>
          <w:color w:val="auto"/>
          <w:lang w:val="zh-TW" w:eastAsia="zh-TW"/>
        </w:rPr>
        <w:t>至研究药物给药后</w:t>
      </w:r>
      <w:r>
        <w:rPr>
          <w:rFonts w:hint="eastAsia" w:eastAsia="宋体"/>
          <w:color w:val="auto"/>
        </w:rPr>
        <w:t>3</w:t>
      </w:r>
      <w:r>
        <w:rPr>
          <w:rFonts w:eastAsia="宋体"/>
          <w:color w:val="auto"/>
          <w:lang w:val="zh-TW" w:eastAsia="zh-TW"/>
        </w:rPr>
        <w:t>个月内</w:t>
      </w:r>
      <w:r>
        <w:rPr>
          <w:rFonts w:hint="eastAsia" w:eastAsia="宋体"/>
          <w:color w:val="auto"/>
        </w:rPr>
        <w:t>采取有效的</w:t>
      </w:r>
      <w:r>
        <w:rPr>
          <w:rFonts w:eastAsia="宋体"/>
          <w:color w:val="auto"/>
          <w:lang w:val="zh-TW" w:eastAsia="zh-TW"/>
        </w:rPr>
        <w:t>避孕</w:t>
      </w:r>
      <w:r>
        <w:rPr>
          <w:rFonts w:hint="eastAsia" w:eastAsia="宋体"/>
          <w:color w:val="auto"/>
        </w:rPr>
        <w:t>措施</w:t>
      </w:r>
      <w:r>
        <w:rPr>
          <w:rFonts w:hint="eastAsia" w:eastAsia="宋体"/>
          <w:color w:val="auto"/>
          <w:lang w:val="zh-TW"/>
        </w:rPr>
        <w:t>（</w:t>
      </w:r>
      <w:r>
        <w:rPr>
          <w:rFonts w:eastAsia="宋体"/>
          <w:color w:val="auto"/>
          <w:lang w:val="zh-TW" w:eastAsia="zh-TW"/>
        </w:rPr>
        <w:t>包括受试者伴侣</w:t>
      </w:r>
      <w:r>
        <w:rPr>
          <w:rFonts w:hint="eastAsia" w:eastAsia="宋体"/>
          <w:color w:val="auto"/>
          <w:lang w:val="zh-TW"/>
        </w:rPr>
        <w:t>）</w:t>
      </w:r>
      <w:r>
        <w:rPr>
          <w:rFonts w:eastAsia="宋体"/>
          <w:color w:val="auto"/>
          <w:lang w:val="zh-TW" w:eastAsia="zh-TW"/>
        </w:rPr>
        <w:t>，并保证此期间的性生活中采用一种或一种以上避孕措施，避孕措施详见附录</w:t>
      </w:r>
      <w:r>
        <w:rPr>
          <w:rFonts w:eastAsia="宋体"/>
          <w:color w:val="auto"/>
        </w:rPr>
        <w:t>2</w:t>
      </w:r>
      <w:r>
        <w:rPr>
          <w:rFonts w:eastAsia="宋体"/>
          <w:color w:val="auto"/>
          <w:lang w:val="zh-TW" w:eastAsia="zh-TW"/>
        </w:rPr>
        <w:t>。</w:t>
      </w:r>
    </w:p>
    <w:p>
      <w:pPr>
        <w:pStyle w:val="50"/>
        <w:autoSpaceDE w:val="0"/>
        <w:autoSpaceDN w:val="0"/>
        <w:adjustRightInd w:val="0"/>
        <w:ind w:left="0" w:firstLine="480" w:firstLineChars="200"/>
        <w:contextualSpacing/>
        <w:rPr>
          <w:rFonts w:eastAsia="PMingLiU"/>
          <w:color w:val="auto"/>
          <w:kern w:val="0"/>
          <w:lang w:val="zh-TW" w:eastAsia="zh-TW"/>
        </w:rPr>
      </w:pPr>
      <w:r>
        <w:rPr>
          <w:rFonts w:eastAsia="宋体"/>
          <w:color w:val="auto"/>
          <w:lang w:val="zh-TW"/>
        </w:rPr>
        <w:t>安全性检查：</w:t>
      </w:r>
      <w:r>
        <w:rPr>
          <w:rFonts w:hint="eastAsia" w:eastAsiaTheme="minorEastAsia"/>
        </w:rPr>
        <w:t>每周期1</w:t>
      </w:r>
      <w:r>
        <w:rPr>
          <w:rFonts w:eastAsiaTheme="minorEastAsia"/>
        </w:rPr>
        <w:t>±0.5h、</w:t>
      </w:r>
      <w:r>
        <w:rPr>
          <w:rFonts w:hint="eastAsia" w:eastAsiaTheme="minorEastAsia"/>
        </w:rPr>
        <w:t>3</w:t>
      </w:r>
      <w:r>
        <w:rPr>
          <w:rFonts w:eastAsiaTheme="minorEastAsia"/>
        </w:rPr>
        <w:t>±0.5h、</w:t>
      </w:r>
      <w:r>
        <w:rPr>
          <w:rFonts w:hint="eastAsia" w:eastAsiaTheme="minorEastAsia"/>
        </w:rPr>
        <w:t>12</w:t>
      </w:r>
      <w:r>
        <w:rPr>
          <w:rFonts w:eastAsiaTheme="minorEastAsia"/>
        </w:rPr>
        <w:t>±</w:t>
      </w:r>
      <w:r>
        <w:rPr>
          <w:rFonts w:hint="eastAsia" w:eastAsiaTheme="minorEastAsia"/>
        </w:rPr>
        <w:t>1.0</w:t>
      </w:r>
      <w:r>
        <w:rPr>
          <w:rFonts w:eastAsiaTheme="minorEastAsia"/>
        </w:rPr>
        <w:t>h</w:t>
      </w:r>
      <w:r>
        <w:rPr>
          <w:rFonts w:hint="eastAsia" w:eastAsiaTheme="minorEastAsia"/>
        </w:rPr>
        <w:t>、</w:t>
      </w:r>
      <w:r>
        <w:rPr>
          <w:rFonts w:eastAsiaTheme="minorEastAsia"/>
        </w:rPr>
        <w:t>24±1.0h、</w:t>
      </w:r>
      <w:r>
        <w:rPr>
          <w:rFonts w:hint="eastAsia" w:eastAsia="宋体"/>
        </w:rPr>
        <w:t>36</w:t>
      </w:r>
      <w:r>
        <w:rPr>
          <w:rFonts w:eastAsia="宋体"/>
        </w:rPr>
        <w:t>±1.0h、</w:t>
      </w:r>
      <w:r>
        <w:rPr>
          <w:rFonts w:eastAsiaTheme="minorEastAsia"/>
        </w:rPr>
        <w:t>48±</w:t>
      </w:r>
      <w:r>
        <w:rPr>
          <w:rFonts w:hint="eastAsia" w:eastAsiaTheme="minorEastAsia"/>
        </w:rPr>
        <w:t>1.0</w:t>
      </w:r>
      <w:r>
        <w:rPr>
          <w:rFonts w:eastAsiaTheme="minorEastAsia"/>
        </w:rPr>
        <w:t>h测量受试者坐位生命体征（包括体温、脉搏及血压）；医护人员在整个试验过程中应及时记录不良事件发生情况。生命体征参考值范围：</w:t>
      </w:r>
      <w:r>
        <w:rPr>
          <w:rFonts w:eastAsiaTheme="minorEastAsia"/>
          <w:color w:val="000000" w:themeColor="text1"/>
          <w14:textFill>
            <w14:solidFill>
              <w14:schemeClr w14:val="tx1"/>
            </w14:solidFill>
          </w14:textFill>
        </w:rPr>
        <w:t>收缩压90~140mmHg，舒张压60~90mmHg，脉搏50~100次/分，体温</w:t>
      </w:r>
      <w:r>
        <w:rPr>
          <w:rFonts w:hint="eastAsia" w:eastAsiaTheme="minorEastAsia"/>
          <w:color w:val="000000" w:themeColor="text1"/>
          <w14:textFill>
            <w14:solidFill>
              <w14:schemeClr w14:val="tx1"/>
            </w14:solidFill>
          </w14:textFill>
        </w:rPr>
        <w:t>（额温）35.8~37.8℃，具体情况由研究者综合判定</w:t>
      </w:r>
      <w:r>
        <w:rPr>
          <w:rFonts w:eastAsia="宋体"/>
          <w:color w:val="auto"/>
          <w:kern w:val="0"/>
          <w:lang w:val="zh-TW" w:eastAsia="zh-TW"/>
        </w:rPr>
        <w:t>。</w:t>
      </w:r>
    </w:p>
    <w:p>
      <w:pPr>
        <w:ind w:left="720" w:leftChars="200" w:hanging="240" w:hangingChars="100"/>
        <w:rPr>
          <w:lang w:val="zh-TW"/>
        </w:rPr>
      </w:pPr>
      <w:r>
        <w:rPr>
          <w:rFonts w:hint="eastAsia"/>
        </w:rPr>
        <w:t>受试者</w:t>
      </w:r>
      <w:r>
        <w:rPr>
          <w:lang w:val="zh-TW"/>
        </w:rPr>
        <w:t>第二周期</w:t>
      </w:r>
      <w:r>
        <w:rPr>
          <w:rFonts w:hint="eastAsia"/>
        </w:rPr>
        <w:t>完成末次</w:t>
      </w:r>
      <w:r>
        <w:rPr>
          <w:lang w:val="zh-TW"/>
        </w:rPr>
        <w:t>血样采集</w:t>
      </w:r>
      <w:r>
        <w:rPr>
          <w:rFonts w:hint="eastAsia"/>
        </w:rPr>
        <w:t>的当天，</w:t>
      </w:r>
      <w:r>
        <w:rPr>
          <w:lang w:val="zh-TW"/>
        </w:rPr>
        <w:t>需进行一般体格检查，实验室项目检</w:t>
      </w:r>
    </w:p>
    <w:p>
      <w:pPr>
        <w:rPr>
          <w:lang w:val="zh-TW"/>
        </w:rPr>
      </w:pPr>
      <w:r>
        <w:rPr>
          <w:lang w:val="zh-TW"/>
        </w:rPr>
        <w:t>查</w:t>
      </w:r>
      <w:r>
        <w:rPr>
          <w:rFonts w:hint="eastAsia"/>
          <w:lang w:val="zh-TW"/>
        </w:rPr>
        <w:t>，</w:t>
      </w:r>
      <w:r>
        <w:rPr>
          <w:rFonts w:hint="eastAsia"/>
        </w:rPr>
        <w:t>包括：</w:t>
      </w:r>
      <w:r>
        <w:rPr>
          <w:lang w:val="zh-TW"/>
        </w:rPr>
        <w:t>血常规、尿常规、血生化、血妊娠</w:t>
      </w:r>
      <w:r>
        <w:rPr>
          <w:rFonts w:hint="eastAsia"/>
          <w:lang w:val="zh-TW"/>
        </w:rPr>
        <w:t>（</w:t>
      </w:r>
      <w:r>
        <w:rPr>
          <w:rFonts w:hint="eastAsia"/>
        </w:rPr>
        <w:t>仅育龄女性</w:t>
      </w:r>
      <w:r>
        <w:rPr>
          <w:rFonts w:hint="eastAsia"/>
          <w:lang w:val="zh-TW"/>
        </w:rPr>
        <w:t>）</w:t>
      </w:r>
      <w:r>
        <w:rPr>
          <w:lang w:val="zh-TW"/>
        </w:rPr>
        <w:t>等</w:t>
      </w:r>
      <w:r>
        <w:rPr>
          <w:rFonts w:hint="eastAsia"/>
          <w:lang w:val="zh-TW"/>
        </w:rPr>
        <w:t>，</w:t>
      </w:r>
      <w:r>
        <w:rPr>
          <w:rFonts w:hint="eastAsia"/>
        </w:rPr>
        <w:t>以及</w:t>
      </w:r>
      <w:r>
        <w:rPr>
          <w:lang w:val="zh-TW"/>
        </w:rPr>
        <w:t>12导联心电图</w:t>
      </w:r>
    </w:p>
    <w:p>
      <w:pPr>
        <w:rPr>
          <w:rFonts w:hint="eastAsia"/>
          <w:lang w:val="en-US" w:eastAsia="zh-CN"/>
        </w:rPr>
      </w:pPr>
      <w:r>
        <w:rPr>
          <w:lang w:val="zh-TW"/>
        </w:rPr>
        <w:t>检查</w:t>
      </w:r>
      <w:r>
        <w:rPr>
          <w:lang w:val="zh-TW" w:eastAsia="zh-TW"/>
        </w:rPr>
        <w:t>后方可离开临床研究中心</w:t>
      </w:r>
      <w:r>
        <w:rPr>
          <w:rFonts w:hint="eastAsia"/>
          <w:lang w:val="zh-TW" w:eastAsia="zh-CN"/>
        </w:rPr>
        <w:t>，</w:t>
      </w:r>
      <w:r>
        <w:rPr>
          <w:rFonts w:hint="eastAsia"/>
          <w:lang w:val="en-US" w:eastAsia="zh-CN"/>
        </w:rPr>
        <w:t>服药后提前出组的受试者也应在出组当天完成全部的</w:t>
      </w:r>
    </w:p>
    <w:p>
      <w:pPr>
        <w:rPr>
          <w:lang w:val="zh-TW"/>
        </w:rPr>
      </w:pPr>
      <w:r>
        <w:rPr>
          <w:rFonts w:hint="eastAsia"/>
          <w:lang w:val="en-US" w:eastAsia="zh-CN"/>
        </w:rPr>
        <w:t>安全性检查项目；</w:t>
      </w:r>
      <w:r>
        <w:rPr>
          <w:lang w:val="zh-TW"/>
        </w:rPr>
        <w:t>如果受试者在研究结束后仍然有未解决的不良事件/反应、具有临床</w:t>
      </w:r>
    </w:p>
    <w:p>
      <w:r>
        <w:rPr>
          <w:lang w:val="zh-TW"/>
        </w:rPr>
        <w:t>意义的体检异常和/或实验室检查异常，应当安排相应的随访</w:t>
      </w:r>
      <w:r>
        <w:rPr>
          <w:rFonts w:hint="eastAsia"/>
          <w:lang w:val="zh-TW"/>
        </w:rPr>
        <w:t>；</w:t>
      </w:r>
      <w:r>
        <w:t>受试者出组后（包括提</w:t>
      </w:r>
    </w:p>
    <w:p>
      <w:pPr>
        <w:rPr>
          <w:lang w:val="zh-TW"/>
        </w:rPr>
      </w:pPr>
      <w:r>
        <w:t>前出组）后一周内若发生后续的不良事件，</w:t>
      </w:r>
      <w:r>
        <w:rPr>
          <w:rFonts w:hint="eastAsia"/>
        </w:rPr>
        <w:t>应主动告知研究者</w:t>
      </w:r>
      <w:r>
        <w:t>。</w:t>
      </w:r>
    </w:p>
    <w:p>
      <w:pPr>
        <w:widowControl w:val="0"/>
        <w:autoSpaceDE w:val="0"/>
        <w:autoSpaceDN w:val="0"/>
        <w:adjustRightInd w:val="0"/>
        <w:ind w:left="0" w:firstLine="480" w:firstLineChars="200"/>
        <w:contextualSpacing/>
        <w:rPr>
          <w:lang w:val="zh-TW" w:eastAsia="zh-TW"/>
        </w:rPr>
      </w:pPr>
      <w:r>
        <w:rPr>
          <w:lang w:val="zh-TW" w:eastAsia="zh-TW"/>
        </w:rPr>
        <w:t>生物样本采集：</w:t>
      </w:r>
    </w:p>
    <w:p>
      <w:pPr>
        <w:widowControl w:val="0"/>
        <w:autoSpaceDE w:val="0"/>
        <w:autoSpaceDN w:val="0"/>
        <w:adjustRightInd w:val="0"/>
        <w:ind w:left="0" w:firstLine="480" w:firstLineChars="200"/>
        <w:contextualSpacing/>
        <w:rPr>
          <w:color w:val="000000" w:themeColor="text1"/>
          <w:u w:color="000000"/>
          <w:lang w:val="zh-TW" w:eastAsia="zh-CN"/>
          <w14:textFill>
            <w14:solidFill>
              <w14:schemeClr w14:val="tx1"/>
            </w14:solidFill>
          </w14:textFill>
        </w:rPr>
      </w:pPr>
      <w:r>
        <w:rPr>
          <w:rFonts w:hint="eastAsia"/>
          <w:lang w:eastAsia="zh-CN"/>
        </w:rPr>
        <w:t>空腹试验</w:t>
      </w:r>
      <w:r>
        <w:rPr>
          <w:lang w:val="zh-TW" w:eastAsia="zh-CN"/>
        </w:rPr>
        <w:t>每周期</w:t>
      </w:r>
      <w:r>
        <w:rPr>
          <w:color w:val="000000"/>
          <w:lang w:eastAsia="zh-CN"/>
        </w:rPr>
        <w:t>在</w:t>
      </w:r>
      <w:r>
        <w:rPr>
          <w:lang w:val="zh-TW" w:eastAsia="zh-TW"/>
        </w:rPr>
        <w:fldChar w:fldCharType="begin"/>
      </w:r>
      <w:r>
        <w:rPr>
          <w:lang w:val="zh-TW" w:eastAsia="zh-TW"/>
        </w:rPr>
        <w:instrText xml:space="preserve"> MERGEFIELD 空腹采血点 </w:instrText>
      </w:r>
      <w:r>
        <w:rPr>
          <w:lang w:val="zh-TW" w:eastAsia="zh-TW"/>
        </w:rPr>
        <w:fldChar w:fldCharType="separate"/>
      </w:r>
      <w:r>
        <w:rPr>
          <w:lang w:eastAsia="zh-CN"/>
        </w:rPr>
        <w:fldChar w:fldCharType="begin"/>
      </w:r>
      <w:r>
        <w:rPr>
          <w:lang w:eastAsia="zh-CN"/>
        </w:rPr>
        <w:instrText xml:space="preserve"> MERGEFIELD 空腹采血点 </w:instrText>
      </w:r>
      <w:r>
        <w:rPr>
          <w:lang w:eastAsia="zh-CN"/>
        </w:rPr>
        <w:fldChar w:fldCharType="separate"/>
      </w:r>
      <w:r>
        <w:rPr>
          <w:lang w:eastAsia="zh-CN"/>
        </w:rPr>
        <w:t>服药前0h（给药60min内）和服药后0.5、1.0、1.</w:t>
      </w:r>
      <w:r>
        <w:rPr>
          <w:rFonts w:hint="eastAsia"/>
          <w:lang w:eastAsia="zh-CN"/>
        </w:rPr>
        <w:t>5、</w:t>
      </w:r>
      <w:r>
        <w:rPr>
          <w:lang w:eastAsia="zh-CN"/>
        </w:rPr>
        <w:t>2.0、2.</w:t>
      </w:r>
      <w:r>
        <w:rPr>
          <w:rFonts w:hint="eastAsia"/>
          <w:lang w:eastAsia="zh-CN"/>
        </w:rPr>
        <w:t>33</w:t>
      </w:r>
      <w:r>
        <w:rPr>
          <w:lang w:eastAsia="zh-CN"/>
        </w:rPr>
        <w:t>、</w:t>
      </w:r>
      <w:r>
        <w:rPr>
          <w:rFonts w:hint="eastAsia"/>
          <w:lang w:eastAsia="zh-CN"/>
        </w:rPr>
        <w:t>2.67、</w:t>
      </w:r>
      <w:r>
        <w:rPr>
          <w:lang w:eastAsia="zh-CN"/>
        </w:rPr>
        <w:t>3.0、3.</w:t>
      </w:r>
      <w:r>
        <w:rPr>
          <w:rFonts w:hint="eastAsia"/>
          <w:lang w:eastAsia="zh-CN"/>
        </w:rPr>
        <w:t>33</w:t>
      </w:r>
      <w:r>
        <w:rPr>
          <w:lang w:eastAsia="zh-CN"/>
        </w:rPr>
        <w:t>、</w:t>
      </w:r>
      <w:r>
        <w:rPr>
          <w:rFonts w:hint="eastAsia"/>
          <w:lang w:eastAsia="zh-CN"/>
        </w:rPr>
        <w:t>3.67、</w:t>
      </w:r>
      <w:r>
        <w:rPr>
          <w:lang w:eastAsia="zh-CN"/>
        </w:rPr>
        <w:t>4.0、</w:t>
      </w:r>
      <w:r>
        <w:rPr>
          <w:rFonts w:hint="eastAsia"/>
          <w:lang w:eastAsia="zh-CN"/>
        </w:rPr>
        <w:t>4.5、</w:t>
      </w:r>
      <w:r>
        <w:rPr>
          <w:lang w:eastAsia="zh-CN"/>
        </w:rPr>
        <w:t>5.0、6.0、</w:t>
      </w:r>
      <w:r>
        <w:rPr>
          <w:rFonts w:hint="eastAsia"/>
          <w:lang w:eastAsia="zh-CN"/>
        </w:rPr>
        <w:t>9</w:t>
      </w:r>
      <w:r>
        <w:rPr>
          <w:lang w:eastAsia="zh-CN"/>
        </w:rPr>
        <w:t>.0、12.0、24.0、36.0、48.0h，共1</w:t>
      </w:r>
      <w:r>
        <w:rPr>
          <w:rFonts w:hint="eastAsia"/>
          <w:lang w:eastAsia="zh-CN"/>
        </w:rPr>
        <w:t>9</w:t>
      </w:r>
      <w:r>
        <w:rPr>
          <w:lang w:eastAsia="zh-CN"/>
        </w:rPr>
        <w:t>个</w:t>
      </w:r>
      <w:r>
        <w:rPr>
          <w:rFonts w:hint="eastAsia"/>
          <w:lang w:eastAsia="zh-CN"/>
        </w:rPr>
        <w:t>采血</w:t>
      </w:r>
      <w:r>
        <w:rPr>
          <w:lang w:eastAsia="zh-CN"/>
        </w:rPr>
        <w:t>点</w:t>
      </w:r>
      <w:r>
        <w:rPr>
          <w:lang w:eastAsia="zh-CN"/>
        </w:rPr>
        <w:fldChar w:fldCharType="end"/>
      </w:r>
      <w:r>
        <w:rPr>
          <w:lang w:eastAsia="zh-CN"/>
        </w:rPr>
        <w:t>，</w:t>
      </w:r>
      <w:r>
        <w:rPr>
          <w:color w:val="000000"/>
          <w:lang w:eastAsia="zh-CN"/>
        </w:rPr>
        <w:t>每次</w:t>
      </w:r>
      <w:r>
        <w:rPr>
          <w:lang w:eastAsia="zh-CN"/>
        </w:rPr>
        <w:t>采集静脉血约3mL</w:t>
      </w:r>
      <w:r>
        <w:rPr>
          <w:rFonts w:hint="eastAsia"/>
          <w:color w:val="000000"/>
          <w:lang w:eastAsia="zh-CN"/>
        </w:rPr>
        <w:t>，</w:t>
      </w:r>
      <w:r>
        <w:rPr>
          <w:lang w:val="zh-TW" w:eastAsia="zh-TW"/>
        </w:rPr>
        <w:fldChar w:fldCharType="end"/>
      </w:r>
      <w:r>
        <w:rPr>
          <w:color w:val="000000"/>
          <w:lang w:eastAsia="zh-CN"/>
        </w:rPr>
        <w:t>至</w:t>
      </w:r>
      <w:r>
        <w:rPr>
          <w:rFonts w:hint="eastAsia"/>
          <w:color w:val="000000"/>
          <w:lang w:eastAsia="zh-CN"/>
        </w:rPr>
        <w:t>含</w:t>
      </w:r>
      <w:r>
        <w:rPr>
          <w:color w:val="000000"/>
          <w:lang w:eastAsia="zh-CN"/>
        </w:rPr>
        <w:t>EDTA-K</w:t>
      </w:r>
      <w:r>
        <w:rPr>
          <w:color w:val="000000"/>
          <w:vertAlign w:val="subscript"/>
          <w:lang w:eastAsia="zh-CN"/>
        </w:rPr>
        <w:t>2</w:t>
      </w:r>
      <w:r>
        <w:rPr>
          <w:rFonts w:hint="eastAsia"/>
          <w:color w:val="000000"/>
          <w:lang w:eastAsia="zh-CN"/>
        </w:rPr>
        <w:t>抗凝剂的</w:t>
      </w:r>
      <w:r>
        <w:rPr>
          <w:color w:val="000000"/>
          <w:lang w:eastAsia="zh-CN"/>
        </w:rPr>
        <w:t>真空采血管中</w:t>
      </w:r>
      <w:r>
        <w:rPr>
          <w:rFonts w:hint="eastAsia"/>
          <w:color w:val="000000" w:themeColor="text1"/>
          <w:u w:color="000000"/>
          <w:lang w:val="zh-TW" w:eastAsia="zh-CN"/>
          <w14:textFill>
            <w14:solidFill>
              <w14:schemeClr w14:val="tx1"/>
            </w14:solidFill>
          </w14:textFill>
        </w:rPr>
        <w:t>。</w:t>
      </w:r>
    </w:p>
    <w:p>
      <w:pPr>
        <w:widowControl w:val="0"/>
        <w:autoSpaceDE w:val="0"/>
        <w:autoSpaceDN w:val="0"/>
        <w:adjustRightInd w:val="0"/>
        <w:ind w:left="0" w:firstLine="480" w:firstLineChars="200"/>
        <w:contextualSpacing/>
        <w:rPr>
          <w:color w:val="000000"/>
          <w:lang w:eastAsia="zh-CN"/>
        </w:rPr>
      </w:pPr>
      <w:r>
        <w:rPr>
          <w:rFonts w:hint="eastAsia"/>
          <w:color w:val="000000" w:themeColor="text1"/>
          <w:u w:color="000000"/>
          <w:lang w:eastAsia="zh-CN"/>
          <w14:textFill>
            <w14:solidFill>
              <w14:schemeClr w14:val="tx1"/>
            </w14:solidFill>
          </w14:textFill>
        </w:rPr>
        <w:t>餐后试验每周期在</w:t>
      </w:r>
      <w:r>
        <w:rPr>
          <w:lang w:eastAsia="zh-CN"/>
        </w:rPr>
        <w:fldChar w:fldCharType="begin"/>
      </w:r>
      <w:r>
        <w:rPr>
          <w:lang w:eastAsia="zh-CN"/>
        </w:rPr>
        <w:instrText xml:space="preserve"> MERGEFIELD 餐后采血点 </w:instrText>
      </w:r>
      <w:r>
        <w:rPr>
          <w:lang w:eastAsia="zh-CN"/>
        </w:rPr>
        <w:fldChar w:fldCharType="separate"/>
      </w:r>
      <w:r>
        <w:rPr>
          <w:lang w:eastAsia="zh-CN"/>
        </w:rPr>
        <w:t>服药前0h（给药60min内）和服药后0.5、1.0、1.5、2.0、2.5、3.0、3.5、4.0、4.5、5.0、6.0、</w:t>
      </w:r>
      <w:r>
        <w:rPr>
          <w:rFonts w:hint="eastAsia"/>
          <w:lang w:eastAsia="zh-CN"/>
        </w:rPr>
        <w:t>9</w:t>
      </w:r>
      <w:r>
        <w:rPr>
          <w:lang w:eastAsia="zh-CN"/>
        </w:rPr>
        <w:t>.0、12.0、24.0、36.0、48.0h，共1</w:t>
      </w:r>
      <w:r>
        <w:rPr>
          <w:rFonts w:hint="eastAsia"/>
          <w:lang w:eastAsia="zh-CN"/>
        </w:rPr>
        <w:t>7</w:t>
      </w:r>
      <w:r>
        <w:rPr>
          <w:lang w:eastAsia="zh-CN"/>
        </w:rPr>
        <w:t>个</w:t>
      </w:r>
      <w:r>
        <w:rPr>
          <w:rFonts w:hint="eastAsia"/>
          <w:lang w:eastAsia="zh-CN"/>
        </w:rPr>
        <w:t>采血</w:t>
      </w:r>
      <w:r>
        <w:rPr>
          <w:lang w:eastAsia="zh-CN"/>
        </w:rPr>
        <w:t>点</w:t>
      </w:r>
      <w:r>
        <w:rPr>
          <w:lang w:eastAsia="zh-CN"/>
        </w:rPr>
        <w:fldChar w:fldCharType="end"/>
      </w:r>
      <w:r>
        <w:rPr>
          <w:lang w:eastAsia="zh-CN"/>
        </w:rPr>
        <w:t>，</w:t>
      </w:r>
      <w:r>
        <w:rPr>
          <w:color w:val="000000"/>
          <w:lang w:eastAsia="zh-CN"/>
        </w:rPr>
        <w:t>每次</w:t>
      </w:r>
      <w:r>
        <w:rPr>
          <w:lang w:eastAsia="zh-CN"/>
        </w:rPr>
        <w:t>采集静脉血约3mL</w:t>
      </w:r>
      <w:r>
        <w:rPr>
          <w:color w:val="000000"/>
          <w:lang w:eastAsia="zh-CN"/>
        </w:rPr>
        <w:t>，至含EDTA-K</w:t>
      </w:r>
      <w:r>
        <w:rPr>
          <w:color w:val="000000"/>
          <w:vertAlign w:val="subscript"/>
          <w:lang w:eastAsia="zh-CN"/>
        </w:rPr>
        <w:t>2</w:t>
      </w:r>
      <w:r>
        <w:rPr>
          <w:color w:val="000000"/>
          <w:lang w:eastAsia="zh-CN"/>
        </w:rPr>
        <w:t>抗凝真空采血管中</w:t>
      </w:r>
      <w:r>
        <w:rPr>
          <w:rFonts w:hint="eastAsia"/>
          <w:color w:val="000000"/>
          <w:lang w:eastAsia="zh-CN"/>
        </w:rPr>
        <w:t>。</w:t>
      </w:r>
    </w:p>
    <w:p>
      <w:pPr>
        <w:widowControl w:val="0"/>
        <w:autoSpaceDE w:val="0"/>
        <w:autoSpaceDN w:val="0"/>
        <w:adjustRightInd w:val="0"/>
        <w:ind w:left="0" w:firstLine="480" w:firstLineChars="200"/>
        <w:contextualSpacing/>
        <w:rPr>
          <w:color w:val="000000"/>
          <w:lang w:eastAsia="zh-CN"/>
        </w:rPr>
      </w:pPr>
      <w:r>
        <w:rPr>
          <w:lang w:val="zh-TW" w:eastAsia="zh-TW"/>
        </w:rPr>
        <w:t>生物样本</w:t>
      </w:r>
      <w:r>
        <w:rPr>
          <w:lang w:val="zh-TW" w:eastAsia="zh-CN"/>
        </w:rPr>
        <w:t>处理</w:t>
      </w:r>
      <w:r>
        <w:rPr>
          <w:lang w:val="zh-TW" w:eastAsia="zh-TW"/>
        </w:rPr>
        <w:t>：</w:t>
      </w:r>
      <w:r>
        <w:rPr>
          <w:rFonts w:hint="eastAsia" w:eastAsiaTheme="minorEastAsia"/>
          <w:color w:val="000000"/>
          <w:lang w:val="zh-TW" w:eastAsia="zh-TW"/>
        </w:rPr>
        <w:t>血样采集于事先已经贴好标签的含</w:t>
      </w:r>
      <w:r>
        <w:rPr>
          <w:rFonts w:eastAsiaTheme="minorEastAsia"/>
          <w:color w:val="000000"/>
          <w:lang w:val="zh-TW" w:eastAsia="zh-TW"/>
        </w:rPr>
        <w:t>EDTA-K</w:t>
      </w:r>
      <w:r>
        <w:rPr>
          <w:rFonts w:eastAsiaTheme="minorEastAsia"/>
          <w:color w:val="000000"/>
          <w:vertAlign w:val="subscript"/>
          <w:lang w:val="zh-TW" w:eastAsia="zh-TW"/>
        </w:rPr>
        <w:t>2</w:t>
      </w:r>
      <w:r>
        <w:rPr>
          <w:rFonts w:hint="eastAsia" w:eastAsiaTheme="minorEastAsia"/>
          <w:color w:val="000000"/>
          <w:lang w:val="zh-TW" w:eastAsia="zh-TW"/>
        </w:rPr>
        <w:t>抗凝剂的试管内，</w:t>
      </w:r>
      <w:r>
        <w:rPr>
          <w:rFonts w:hint="eastAsia" w:eastAsiaTheme="minorEastAsia"/>
          <w:color w:val="000000"/>
          <w:lang w:eastAsia="zh-CN"/>
        </w:rPr>
        <w:t>每个血样应在采集</w:t>
      </w:r>
      <w:r>
        <w:rPr>
          <w:rFonts w:hint="eastAsia" w:eastAsiaTheme="minorEastAsia"/>
          <w:color w:val="000000"/>
          <w:lang w:val="zh-TW" w:eastAsia="zh-TW"/>
        </w:rPr>
        <w:t>后</w:t>
      </w:r>
      <w:r>
        <w:rPr>
          <w:rFonts w:hint="eastAsia" w:eastAsiaTheme="minorEastAsia"/>
          <w:color w:val="000000"/>
          <w:lang w:eastAsia="zh-CN"/>
        </w:rPr>
        <w:t>的</w:t>
      </w:r>
      <w:r>
        <w:rPr>
          <w:rFonts w:hint="eastAsia" w:eastAsiaTheme="minorEastAsia"/>
          <w:color w:val="000000"/>
          <w:lang w:val="zh-TW" w:eastAsia="zh-TW"/>
        </w:rPr>
        <w:t>1h内开始进行离心处理，2-8℃、</w:t>
      </w:r>
      <w:r>
        <w:rPr>
          <w:rFonts w:eastAsiaTheme="minorEastAsia"/>
          <w:color w:val="000000"/>
          <w:lang w:val="zh-TW" w:eastAsia="zh-TW"/>
        </w:rPr>
        <w:t>1700</w:t>
      </w:r>
      <w:r>
        <w:rPr>
          <w:rFonts w:hint="eastAsia" w:eastAsiaTheme="minorEastAsia"/>
          <w:color w:val="000000"/>
          <w:lang w:val="en-US" w:eastAsia="zh-CN"/>
        </w:rPr>
        <w:t>×</w:t>
      </w:r>
      <w:r>
        <w:rPr>
          <w:rFonts w:eastAsiaTheme="minorEastAsia"/>
          <w:color w:val="000000"/>
          <w:lang w:val="zh-TW" w:eastAsia="zh-TW"/>
        </w:rPr>
        <w:t>g</w:t>
      </w:r>
      <w:r>
        <w:rPr>
          <w:rFonts w:hint="eastAsia" w:eastAsiaTheme="minorEastAsia"/>
          <w:color w:val="000000"/>
          <w:lang w:val="zh-TW" w:eastAsia="zh-TW"/>
        </w:rPr>
        <w:t>离心</w:t>
      </w:r>
      <w:r>
        <w:rPr>
          <w:rFonts w:eastAsiaTheme="minorEastAsia"/>
          <w:color w:val="000000"/>
          <w:lang w:val="zh-TW" w:eastAsia="zh-TW"/>
        </w:rPr>
        <w:t>10min</w:t>
      </w:r>
      <w:r>
        <w:rPr>
          <w:rFonts w:hint="eastAsia" w:eastAsiaTheme="minorEastAsia"/>
          <w:color w:val="000000"/>
          <w:lang w:val="zh-TW" w:eastAsia="zh-TW"/>
        </w:rPr>
        <w:t>，分离血浆，取离心后的上层血浆置于</w:t>
      </w:r>
      <w:r>
        <w:rPr>
          <w:rFonts w:eastAsiaTheme="minorEastAsia"/>
          <w:color w:val="000000"/>
          <w:lang w:val="zh-TW" w:eastAsia="zh-TW"/>
        </w:rPr>
        <w:t>2</w:t>
      </w:r>
      <w:r>
        <w:rPr>
          <w:rFonts w:hint="eastAsia" w:eastAsiaTheme="minorEastAsia"/>
          <w:color w:val="000000"/>
          <w:lang w:val="zh-TW" w:eastAsia="zh-TW"/>
        </w:rPr>
        <w:t>个</w:t>
      </w:r>
      <w:r>
        <w:rPr>
          <w:rFonts w:eastAsiaTheme="minorEastAsia"/>
          <w:color w:val="000000"/>
          <w:lang w:val="zh-TW" w:eastAsia="zh-TW"/>
        </w:rPr>
        <w:t>2 mL</w:t>
      </w:r>
      <w:r>
        <w:rPr>
          <w:rFonts w:hint="eastAsia" w:eastAsiaTheme="minorEastAsia"/>
          <w:color w:val="000000"/>
          <w:lang w:val="zh-TW" w:eastAsia="zh-TW"/>
        </w:rPr>
        <w:t>冻存管中（取</w:t>
      </w:r>
      <w:r>
        <w:rPr>
          <w:rFonts w:eastAsiaTheme="minorEastAsia"/>
          <w:color w:val="000000"/>
          <w:lang w:val="zh-TW" w:eastAsia="zh-TW"/>
        </w:rPr>
        <w:t>0.6-0.8mL</w:t>
      </w:r>
      <w:r>
        <w:rPr>
          <w:rFonts w:hint="eastAsia" w:eastAsiaTheme="minorEastAsia"/>
          <w:color w:val="000000"/>
          <w:lang w:val="zh-TW" w:eastAsia="zh-TW"/>
        </w:rPr>
        <w:t>血浆置于存放待测样本的冻存管中，其余血浆置于存放备份样本的冻存管中），操作人员应在离心结束后</w:t>
      </w:r>
      <w:r>
        <w:rPr>
          <w:rFonts w:eastAsiaTheme="minorEastAsia"/>
          <w:color w:val="000000"/>
          <w:lang w:val="zh-TW" w:eastAsia="zh-TW"/>
        </w:rPr>
        <w:t>60min</w:t>
      </w:r>
      <w:r>
        <w:rPr>
          <w:rFonts w:hint="eastAsia" w:eastAsiaTheme="minorEastAsia"/>
          <w:color w:val="000000"/>
          <w:lang w:val="zh-TW" w:eastAsia="zh-TW"/>
        </w:rPr>
        <w:t>之内将血浆样本</w:t>
      </w:r>
      <w:r>
        <w:rPr>
          <w:rFonts w:hint="eastAsia" w:eastAsiaTheme="minorEastAsia"/>
          <w:color w:val="000000"/>
          <w:lang w:eastAsia="zh-CN"/>
        </w:rPr>
        <w:t>暂存至</w:t>
      </w:r>
      <w:r>
        <w:rPr>
          <w:rFonts w:eastAsiaTheme="minorEastAsia"/>
          <w:color w:val="000000"/>
          <w:lang w:val="zh-TW" w:eastAsia="zh-TW"/>
        </w:rPr>
        <w:t>-20</w:t>
      </w:r>
      <w:r>
        <w:rPr>
          <w:rFonts w:hint="eastAsia" w:eastAsiaTheme="minorEastAsia"/>
          <w:color w:val="000000"/>
          <w:lang w:val="zh-TW" w:eastAsia="zh-TW"/>
        </w:rPr>
        <w:t>℃</w:t>
      </w:r>
      <w:r>
        <w:rPr>
          <w:rFonts w:hint="eastAsia" w:eastAsiaTheme="minorEastAsia"/>
          <w:color w:val="000000"/>
          <w:lang w:val="en-US" w:eastAsia="zh-CN"/>
        </w:rPr>
        <w:t>或以下</w:t>
      </w:r>
      <w:r>
        <w:rPr>
          <w:rFonts w:hint="eastAsia" w:eastAsiaTheme="minorEastAsia"/>
          <w:color w:val="000000"/>
          <w:lang w:val="zh-TW" w:eastAsia="zh-TW"/>
        </w:rPr>
        <w:t>冰箱中，</w:t>
      </w:r>
      <w:r>
        <w:rPr>
          <w:rFonts w:hint="eastAsia" w:eastAsiaTheme="minorEastAsia"/>
          <w:color w:val="000000"/>
          <w:lang w:val="en-US" w:eastAsia="zh-CN"/>
        </w:rPr>
        <w:t>并</w:t>
      </w:r>
      <w:r>
        <w:rPr>
          <w:rFonts w:hint="eastAsia" w:eastAsiaTheme="minorEastAsia"/>
          <w:color w:val="000000"/>
          <w:lang w:val="zh-TW" w:eastAsia="zh-TW"/>
        </w:rPr>
        <w:t>于24小时之内将样本转移至</w:t>
      </w:r>
      <w:r>
        <w:rPr>
          <w:rFonts w:eastAsiaTheme="minorEastAsia"/>
          <w:color w:val="000000"/>
          <w:lang w:val="zh-TW" w:eastAsia="zh-TW"/>
        </w:rPr>
        <w:t>-60℃~-90℃</w:t>
      </w:r>
      <w:r>
        <w:rPr>
          <w:rFonts w:hint="eastAsia" w:eastAsiaTheme="minorEastAsia"/>
          <w:color w:val="000000"/>
          <w:lang w:val="zh-TW" w:eastAsia="zh-TW"/>
        </w:rPr>
        <w:t>冰箱中储存。</w:t>
      </w:r>
      <w:r>
        <w:rPr>
          <w:rFonts w:hint="eastAsia"/>
          <w:lang w:eastAsia="zh-CN"/>
        </w:rPr>
        <w:t>受试者采血、血浆分装均在室温白光条件下操作。</w:t>
      </w:r>
      <w:r>
        <w:rPr>
          <w:rFonts w:hint="eastAsia"/>
          <w:color w:val="000000"/>
          <w:lang w:eastAsia="zh-CN"/>
        </w:rPr>
        <w:t>具体参见检测公司提供的“生物样本采集处理手册”。</w:t>
      </w:r>
    </w:p>
    <w:p>
      <w:pPr>
        <w:pStyle w:val="49"/>
        <w:keepNext w:val="0"/>
        <w:keepLines w:val="0"/>
        <w:numPr>
          <w:ilvl w:val="2"/>
          <w:numId w:val="1"/>
        </w:numPr>
        <w:autoSpaceDE w:val="0"/>
        <w:autoSpaceDN w:val="0"/>
        <w:adjustRightInd w:val="0"/>
        <w:ind w:left="0" w:firstLine="0"/>
        <w:contextualSpacing/>
        <w:outlineLvl w:val="2"/>
        <w:rPr>
          <w:rFonts w:eastAsia="宋体"/>
          <w:color w:val="auto"/>
          <w:lang w:val="zh-TW" w:eastAsia="zh-TW"/>
        </w:rPr>
      </w:pPr>
      <w:bookmarkStart w:id="93" w:name="_Toc12376"/>
      <w:bookmarkStart w:id="94" w:name="_Toc446673697"/>
      <w:bookmarkStart w:id="95" w:name="_Toc523500642"/>
      <w:bookmarkStart w:id="96" w:name="_Toc460500096"/>
      <w:bookmarkStart w:id="97" w:name="_Toc4843"/>
      <w:r>
        <w:rPr>
          <w:rFonts w:eastAsia="宋体"/>
          <w:color w:val="auto"/>
          <w:lang w:val="zh-TW" w:eastAsia="zh-TW"/>
        </w:rPr>
        <w:t>清洗期</w:t>
      </w:r>
      <w:bookmarkEnd w:id="93"/>
      <w:bookmarkEnd w:id="94"/>
      <w:bookmarkEnd w:id="95"/>
      <w:bookmarkEnd w:id="96"/>
      <w:bookmarkEnd w:id="97"/>
    </w:p>
    <w:p>
      <w:pPr>
        <w:pStyle w:val="50"/>
        <w:autoSpaceDE w:val="0"/>
        <w:autoSpaceDN w:val="0"/>
        <w:adjustRightInd w:val="0"/>
        <w:ind w:left="0" w:firstLine="480" w:firstLineChars="200"/>
        <w:contextualSpacing/>
        <w:rPr>
          <w:rFonts w:eastAsia="宋体"/>
          <w:color w:val="auto"/>
          <w:lang w:val="zh-TW"/>
        </w:rPr>
      </w:pPr>
      <w:r>
        <w:rPr>
          <w:rFonts w:hint="eastAsia" w:eastAsia="宋体"/>
        </w:rPr>
        <w:t>根据文献</w:t>
      </w:r>
      <w:r>
        <w:rPr>
          <w:rFonts w:hint="eastAsia" w:eastAsia="宋体"/>
          <w:vertAlign w:val="superscript"/>
        </w:rPr>
        <w:t>[3]</w:t>
      </w:r>
      <w:r>
        <w:rPr>
          <w:rFonts w:hint="eastAsia" w:eastAsia="宋体"/>
        </w:rPr>
        <w:t>，</w:t>
      </w:r>
      <w:r>
        <w:rPr>
          <w:rFonts w:eastAsia="宋体"/>
        </w:rPr>
        <w:fldChar w:fldCharType="begin"/>
      </w:r>
      <w:r>
        <w:rPr>
          <w:rFonts w:eastAsia="宋体"/>
        </w:rPr>
        <w:instrText xml:space="preserve"> </w:instrText>
      </w:r>
      <w:r>
        <w:rPr>
          <w:rFonts w:hint="eastAsia" w:eastAsia="宋体"/>
        </w:rPr>
        <w:instrText xml:space="preserve">MERGEFIELD T受试制剂</w:instrText>
      </w:r>
      <w:r>
        <w:rPr>
          <w:rFonts w:eastAsia="宋体"/>
        </w:rPr>
        <w:instrText xml:space="preserve"> </w:instrText>
      </w:r>
      <w:r>
        <w:rPr>
          <w:rFonts w:eastAsia="宋体"/>
        </w:rPr>
        <w:fldChar w:fldCharType="separate"/>
      </w:r>
      <w:r>
        <w:rPr>
          <w:rFonts w:hint="eastAsia" w:eastAsia="宋体" w:cs="宋体"/>
          <w:lang w:eastAsia="zh-CN"/>
        </w:rPr>
        <w:t>XXXXXX</w:t>
      </w:r>
      <w:r>
        <w:rPr>
          <w:rFonts w:eastAsia="宋体"/>
        </w:rPr>
        <w:fldChar w:fldCharType="end"/>
      </w:r>
      <w:r>
        <w:rPr>
          <w:rFonts w:hint="eastAsia" w:eastAsia="宋体"/>
        </w:rPr>
        <w:t>血浆消除半衰期</w:t>
      </w:r>
      <w:r>
        <w:rPr>
          <w:rFonts w:eastAsia="宋体"/>
          <w:color w:val="auto"/>
          <w:lang w:val="zh-TW"/>
        </w:rPr>
        <w:t>（t</w:t>
      </w:r>
      <w:r>
        <w:rPr>
          <w:rFonts w:eastAsia="宋体"/>
          <w:color w:val="auto"/>
          <w:vertAlign w:val="subscript"/>
          <w:lang w:val="zh-TW"/>
        </w:rPr>
        <w:t>1/2</w:t>
      </w:r>
      <w:r>
        <w:rPr>
          <w:rFonts w:eastAsia="宋体"/>
          <w:color w:val="auto"/>
          <w:lang w:val="zh-TW"/>
        </w:rPr>
        <w:t>）</w:t>
      </w:r>
      <w:r>
        <w:rPr>
          <w:rFonts w:hint="eastAsia" w:eastAsia="宋体"/>
          <w:color w:val="auto"/>
        </w:rPr>
        <w:t>均值</w:t>
      </w:r>
      <w:r>
        <w:rPr>
          <w:rFonts w:eastAsia="宋体"/>
          <w:color w:val="auto"/>
          <w:lang w:val="zh-TW"/>
        </w:rPr>
        <w:t>约</w:t>
      </w:r>
      <w:r>
        <w:rPr>
          <w:rFonts w:eastAsia="宋体"/>
        </w:rPr>
        <w:fldChar w:fldCharType="begin"/>
      </w:r>
      <w:r>
        <w:rPr>
          <w:rFonts w:eastAsia="宋体"/>
        </w:rPr>
        <w:instrText xml:space="preserve"> MERGEFIELD t12 </w:instrText>
      </w:r>
      <w:r>
        <w:rPr>
          <w:rFonts w:eastAsia="宋体"/>
        </w:rPr>
        <w:fldChar w:fldCharType="separate"/>
      </w:r>
      <w:r>
        <w:rPr>
          <w:rFonts w:hint="eastAsia" w:eastAsia="宋体" w:cs="宋体"/>
        </w:rPr>
        <w:t>10</w:t>
      </w:r>
      <w:r>
        <w:rPr>
          <w:rFonts w:hint="eastAsia" w:eastAsia="宋体"/>
        </w:rPr>
        <w:t>h</w:t>
      </w:r>
      <w:r>
        <w:rPr>
          <w:rFonts w:eastAsia="宋体"/>
        </w:rPr>
        <w:fldChar w:fldCharType="end"/>
      </w:r>
      <w:r>
        <w:rPr>
          <w:rFonts w:eastAsia="宋体"/>
          <w:color w:val="auto"/>
          <w:lang w:val="zh-TW"/>
        </w:rPr>
        <w:t>，因此试验周期之间清洗期（给药间隔）设定为</w:t>
      </w:r>
      <w:r>
        <w:rPr>
          <w:rFonts w:eastAsia="宋体"/>
        </w:rPr>
        <w:fldChar w:fldCharType="begin"/>
      </w:r>
      <w:r>
        <w:rPr>
          <w:rFonts w:eastAsia="宋体"/>
        </w:rPr>
        <w:instrText xml:space="preserve"> MERGEFIELD 洗脱期 </w:instrText>
      </w:r>
      <w:r>
        <w:rPr>
          <w:rFonts w:eastAsia="宋体"/>
        </w:rPr>
        <w:fldChar w:fldCharType="separate"/>
      </w:r>
      <w:r>
        <w:rPr>
          <w:rFonts w:eastAsia="宋体"/>
        </w:rPr>
        <w:t>7</w:t>
      </w:r>
      <w:r>
        <w:rPr>
          <w:rFonts w:eastAsia="宋体"/>
        </w:rPr>
        <w:fldChar w:fldCharType="end"/>
      </w:r>
      <w:r>
        <w:rPr>
          <w:rFonts w:eastAsia="宋体"/>
        </w:rPr>
        <w:t>天</w:t>
      </w:r>
      <w:r>
        <w:rPr>
          <w:rFonts w:eastAsia="宋体"/>
          <w:color w:val="auto"/>
          <w:lang w:val="zh-TW"/>
        </w:rPr>
        <w:t>，大于</w:t>
      </w:r>
      <w:r>
        <w:rPr>
          <w:rFonts w:hint="eastAsia" w:eastAsia="宋体"/>
          <w:color w:val="auto"/>
          <w:lang w:val="zh-TW"/>
        </w:rPr>
        <w:t>7</w:t>
      </w:r>
      <w:r>
        <w:rPr>
          <w:rFonts w:eastAsia="宋体"/>
          <w:color w:val="auto"/>
          <w:lang w:val="zh-TW"/>
        </w:rPr>
        <w:t>倍半衰期以上。</w:t>
      </w:r>
    </w:p>
    <w:p>
      <w:pPr>
        <w:pStyle w:val="50"/>
        <w:autoSpaceDE w:val="0"/>
        <w:autoSpaceDN w:val="0"/>
        <w:adjustRightInd w:val="0"/>
        <w:spacing w:line="240" w:lineRule="auto"/>
        <w:ind w:left="0" w:firstLine="480" w:firstLineChars="200"/>
        <w:contextualSpacing/>
        <w:rPr>
          <w:rFonts w:eastAsia="宋体"/>
          <w:color w:val="auto"/>
          <w:lang w:val="zh-TW"/>
        </w:rPr>
      </w:pPr>
    </w:p>
    <w:p>
      <w:pPr>
        <w:pStyle w:val="2"/>
        <w:keepNext w:val="0"/>
        <w:keepLines w:val="0"/>
        <w:numPr>
          <w:ilvl w:val="0"/>
          <w:numId w:val="0"/>
        </w:numPr>
        <w:autoSpaceDE w:val="0"/>
        <w:autoSpaceDN w:val="0"/>
        <w:adjustRightInd w:val="0"/>
        <w:spacing w:line="440" w:lineRule="exact"/>
        <w:ind w:leftChars="0"/>
        <w:contextualSpacing/>
        <w:rPr>
          <w:rFonts w:ascii="Times New Roman" w:hAnsi="Times New Roman"/>
          <w:color w:val="auto"/>
          <w:sz w:val="24"/>
          <w:szCs w:val="24"/>
        </w:rPr>
      </w:pPr>
      <w:bookmarkStart w:id="98" w:name="_Toc13921"/>
      <w:bookmarkStart w:id="99" w:name="_Toc523500643"/>
      <w:r>
        <w:rPr>
          <w:rFonts w:hint="eastAsia" w:ascii="Times New Roman" w:hAnsi="Times New Roman"/>
          <w:color w:val="auto"/>
          <w:sz w:val="24"/>
          <w:szCs w:val="24"/>
          <w:lang w:val="en-US" w:eastAsia="zh-CN"/>
        </w:rPr>
        <w:t xml:space="preserve">2  </w:t>
      </w:r>
      <w:r>
        <w:rPr>
          <w:rFonts w:ascii="Times New Roman" w:hAnsi="Times New Roman"/>
          <w:color w:val="auto"/>
          <w:sz w:val="24"/>
          <w:szCs w:val="24"/>
          <w:lang w:val="zh-TW" w:eastAsia="zh-TW"/>
        </w:rPr>
        <w:t>试验设计理由</w:t>
      </w:r>
      <w:bookmarkEnd w:id="98"/>
      <w:bookmarkEnd w:id="99"/>
    </w:p>
    <w:p>
      <w:pPr>
        <w:pStyle w:val="4"/>
        <w:keepNext w:val="0"/>
        <w:keepLines w:val="0"/>
        <w:widowControl w:val="0"/>
        <w:numPr>
          <w:ilvl w:val="1"/>
          <w:numId w:val="10"/>
        </w:numPr>
        <w:autoSpaceDE w:val="0"/>
        <w:autoSpaceDN w:val="0"/>
        <w:adjustRightInd w:val="0"/>
        <w:spacing w:before="0" w:after="0" w:line="440" w:lineRule="exact"/>
        <w:ind w:left="0" w:firstLine="0"/>
        <w:contextualSpacing/>
        <w:rPr>
          <w:rFonts w:ascii="Times New Roman" w:hAnsi="Times New Roman" w:eastAsia="宋体"/>
          <w:sz w:val="24"/>
          <w:szCs w:val="24"/>
          <w:lang w:val="zh-TW" w:eastAsia="zh-TW"/>
        </w:rPr>
      </w:pPr>
      <w:bookmarkStart w:id="100" w:name="_Toc24572"/>
      <w:bookmarkStart w:id="101" w:name="_Toc523500644"/>
      <w:r>
        <w:rPr>
          <w:rFonts w:ascii="Times New Roman" w:hAnsi="Times New Roman" w:eastAsia="宋体"/>
          <w:sz w:val="24"/>
          <w:szCs w:val="24"/>
          <w:lang w:val="zh-TW" w:eastAsia="zh-TW"/>
        </w:rPr>
        <w:t>总体设计</w:t>
      </w:r>
      <w:bookmarkEnd w:id="100"/>
      <w:bookmarkEnd w:id="101"/>
    </w:p>
    <w:p>
      <w:pPr>
        <w:pStyle w:val="50"/>
        <w:autoSpaceDE w:val="0"/>
        <w:autoSpaceDN w:val="0"/>
        <w:adjustRightInd w:val="0"/>
        <w:spacing w:line="360" w:lineRule="auto"/>
        <w:ind w:left="0" w:firstLine="480" w:firstLineChars="200"/>
        <w:contextualSpacing/>
        <w:rPr>
          <w:rFonts w:eastAsia="宋体"/>
          <w:color w:val="auto"/>
          <w:lang w:val="zh-TW"/>
        </w:rPr>
      </w:pPr>
      <w:r>
        <w:rPr>
          <w:rFonts w:eastAsia="宋体"/>
          <w:color w:val="auto"/>
          <w:lang w:val="zh-TW" w:eastAsia="zh-TW"/>
        </w:rPr>
        <w:t>本研究总体设计</w:t>
      </w:r>
      <w:r>
        <w:rPr>
          <w:rFonts w:hint="eastAsia" w:eastAsia="宋体"/>
          <w:color w:val="auto"/>
          <w:lang w:val="en-US" w:eastAsia="zh-CN"/>
        </w:rPr>
        <w:t>采用</w:t>
      </w:r>
      <w:r>
        <w:rPr>
          <w:rFonts w:eastAsia="宋体"/>
          <w:color w:val="auto"/>
          <w:lang w:val="zh-TW" w:eastAsia="zh-TW"/>
        </w:rPr>
        <w:t>单中心、随机、开放、单剂量、两制剂、两周期交叉给药试验</w:t>
      </w:r>
      <w:r>
        <w:rPr>
          <w:rFonts w:eastAsia="宋体"/>
          <w:color w:val="auto"/>
          <w:lang w:val="zh-TW"/>
        </w:rPr>
        <w:t>设计，进行</w:t>
      </w:r>
      <w:r>
        <w:rPr>
          <w:rFonts w:hint="eastAsia" w:eastAsia="宋体"/>
          <w:color w:val="auto"/>
          <w:lang w:val="en-US" w:eastAsia="zh-CN"/>
        </w:rPr>
        <w:t>两制剂</w:t>
      </w:r>
      <w:r>
        <w:rPr>
          <w:rFonts w:eastAsia="宋体"/>
          <w:color w:val="auto"/>
          <w:lang w:val="zh-TW"/>
        </w:rPr>
        <w:t>空腹及餐后两种状态下的</w:t>
      </w:r>
      <w:r>
        <w:rPr>
          <w:rFonts w:hint="eastAsia" w:eastAsia="宋体"/>
          <w:color w:val="auto"/>
          <w:lang w:val="en-US" w:eastAsia="zh-CN"/>
        </w:rPr>
        <w:t>人体</w:t>
      </w:r>
      <w:r>
        <w:rPr>
          <w:rFonts w:eastAsia="宋体"/>
          <w:color w:val="auto"/>
          <w:lang w:val="zh-TW"/>
        </w:rPr>
        <w:t>生物等效性</w:t>
      </w:r>
      <w:r>
        <w:rPr>
          <w:rFonts w:hint="eastAsia" w:eastAsia="宋体"/>
          <w:color w:val="auto"/>
          <w:lang w:val="zh-TW" w:eastAsia="zh-CN"/>
        </w:rPr>
        <w:t>试验</w:t>
      </w:r>
      <w:r>
        <w:rPr>
          <w:rFonts w:eastAsia="宋体"/>
          <w:color w:val="auto"/>
          <w:lang w:val="zh-TW"/>
        </w:rPr>
        <w:t>。</w:t>
      </w:r>
    </w:p>
    <w:p>
      <w:pPr>
        <w:pStyle w:val="4"/>
        <w:keepNext w:val="0"/>
        <w:keepLines w:val="0"/>
        <w:widowControl w:val="0"/>
        <w:autoSpaceDE w:val="0"/>
        <w:autoSpaceDN w:val="0"/>
        <w:adjustRightInd w:val="0"/>
        <w:spacing w:before="0" w:after="0" w:line="440" w:lineRule="exact"/>
        <w:ind w:left="0" w:firstLine="0"/>
        <w:contextualSpacing/>
        <w:rPr>
          <w:rFonts w:ascii="Times New Roman" w:hAnsi="Times New Roman" w:eastAsia="宋体"/>
          <w:sz w:val="24"/>
          <w:szCs w:val="24"/>
          <w:vertAlign w:val="superscript"/>
          <w:lang w:val="zh-TW" w:eastAsia="zh-CN"/>
        </w:rPr>
      </w:pPr>
      <w:bookmarkStart w:id="102" w:name="_Toc523500645"/>
      <w:bookmarkStart w:id="103" w:name="_Toc19304"/>
      <w:r>
        <w:rPr>
          <w:rFonts w:hint="eastAsia" w:ascii="Times New Roman" w:hAnsi="Times New Roman" w:eastAsia="宋体"/>
          <w:sz w:val="24"/>
          <w:szCs w:val="24"/>
          <w:lang w:eastAsia="zh-CN"/>
        </w:rPr>
        <w:t xml:space="preserve">2.2  </w:t>
      </w:r>
      <w:r>
        <w:rPr>
          <w:rFonts w:ascii="Times New Roman" w:hAnsi="Times New Roman" w:eastAsia="宋体"/>
          <w:sz w:val="24"/>
          <w:szCs w:val="24"/>
          <w:lang w:val="zh-TW" w:eastAsia="zh-TW"/>
        </w:rPr>
        <w:t>药代动力学特征</w:t>
      </w:r>
      <w:bookmarkEnd w:id="102"/>
      <w:r>
        <w:rPr>
          <w:rFonts w:hint="eastAsia" w:ascii="Times New Roman" w:hAnsi="Times New Roman" w:eastAsia="宋体"/>
          <w:sz w:val="24"/>
          <w:szCs w:val="24"/>
          <w:vertAlign w:val="superscript"/>
          <w:lang w:eastAsia="zh-CN"/>
        </w:rPr>
        <w:t>[1]</w:t>
      </w:r>
      <w:bookmarkEnd w:id="103"/>
    </w:p>
    <w:p>
      <w:pPr>
        <w:ind w:leftChars="200" w:hanging="240" w:hangingChars="100"/>
        <w:rPr>
          <w:lang w:eastAsia="zh-CN"/>
        </w:rPr>
      </w:pPr>
      <w:r>
        <w:rPr>
          <w:rFonts w:hint="eastAsia"/>
          <w:lang w:eastAsia="zh-CN"/>
        </w:rPr>
        <w:t>吸收：本品口服后经胃肠道吸收</w:t>
      </w:r>
      <w:r>
        <w:rPr>
          <w:lang w:eastAsia="zh-CN"/>
        </w:rPr>
        <w:t>75%</w:t>
      </w:r>
      <w:r>
        <w:rPr>
          <w:rFonts w:hint="eastAsia"/>
          <w:lang w:eastAsia="zh-CN"/>
        </w:rPr>
        <w:t>～</w:t>
      </w:r>
      <w:r>
        <w:rPr>
          <w:lang w:eastAsia="zh-CN"/>
        </w:rPr>
        <w:t>80%</w:t>
      </w:r>
      <w:r>
        <w:rPr>
          <w:rFonts w:hint="eastAsia"/>
          <w:lang w:eastAsia="zh-CN"/>
        </w:rPr>
        <w:t>，口服</w:t>
      </w:r>
      <w:r>
        <w:rPr>
          <w:lang w:eastAsia="zh-CN"/>
        </w:rPr>
        <w:t>2</w:t>
      </w:r>
      <w:r>
        <w:rPr>
          <w:rFonts w:hint="eastAsia"/>
          <w:lang w:eastAsia="zh-CN"/>
        </w:rPr>
        <w:t>～</w:t>
      </w:r>
      <w:r>
        <w:rPr>
          <w:lang w:eastAsia="zh-CN"/>
        </w:rPr>
        <w:t>4</w:t>
      </w:r>
      <w:r>
        <w:rPr>
          <w:rFonts w:hint="eastAsia"/>
          <w:lang w:eastAsia="zh-CN"/>
        </w:rPr>
        <w:t>小时血药浓度可达峰值。</w:t>
      </w:r>
    </w:p>
    <w:p>
      <w:pPr>
        <w:ind w:leftChars="200" w:hanging="240" w:hangingChars="100"/>
        <w:jc w:val="left"/>
        <w:rPr>
          <w:lang w:eastAsia="zh-CN"/>
        </w:rPr>
      </w:pPr>
      <w:r>
        <w:rPr>
          <w:rFonts w:hint="eastAsia"/>
          <w:lang w:eastAsia="zh-CN"/>
        </w:rPr>
        <w:t>分布：广泛分布于全身组织和体液中（除脑脊液外）。红细胞内药浓度与血浆浓</w:t>
      </w:r>
    </w:p>
    <w:p>
      <w:pPr>
        <w:jc w:val="left"/>
        <w:rPr>
          <w:lang w:eastAsia="zh-CN"/>
        </w:rPr>
      </w:pPr>
      <w:r>
        <w:rPr>
          <w:rFonts w:hint="eastAsia"/>
          <w:lang w:eastAsia="zh-CN"/>
        </w:rPr>
        <w:t>度相等或为其</w:t>
      </w:r>
      <w:r>
        <w:rPr>
          <w:lang w:eastAsia="zh-CN"/>
        </w:rPr>
        <w:t>2</w:t>
      </w:r>
      <w:r>
        <w:rPr>
          <w:rFonts w:hint="eastAsia"/>
          <w:lang w:eastAsia="zh-CN"/>
        </w:rPr>
        <w:t>倍，并可持续</w:t>
      </w:r>
      <w:r>
        <w:rPr>
          <w:lang w:eastAsia="zh-CN"/>
        </w:rPr>
        <w:t>24</w:t>
      </w:r>
      <w:r>
        <w:rPr>
          <w:rFonts w:hint="eastAsia"/>
          <w:lang w:eastAsia="zh-CN"/>
        </w:rPr>
        <w:t>小时；肾、肺、唾液和尿内的药浓度较高；但胸水和</w:t>
      </w:r>
    </w:p>
    <w:p>
      <w:pPr>
        <w:jc w:val="left"/>
        <w:rPr>
          <w:lang w:eastAsia="zh-CN"/>
        </w:rPr>
      </w:pPr>
      <w:r>
        <w:rPr>
          <w:rFonts w:hint="eastAsia"/>
          <w:lang w:eastAsia="zh-CN"/>
        </w:rPr>
        <w:t>腹水中的浓度则较低。本品不能渗入正常脑膜，但结核性脑膜炎患者脑脊液中可有微</w:t>
      </w:r>
    </w:p>
    <w:p>
      <w:pPr>
        <w:jc w:val="left"/>
        <w:rPr>
          <w:lang w:eastAsia="zh-CN"/>
        </w:rPr>
      </w:pPr>
      <w:r>
        <w:rPr>
          <w:rFonts w:hint="eastAsia"/>
          <w:lang w:eastAsia="zh-CN"/>
        </w:rPr>
        <w:t>量。其分布容积为</w:t>
      </w:r>
      <w:r>
        <w:rPr>
          <w:lang w:eastAsia="zh-CN"/>
        </w:rPr>
        <w:t>1.6L/Kg</w:t>
      </w:r>
      <w:r>
        <w:rPr>
          <w:rFonts w:hint="eastAsia"/>
          <w:lang w:eastAsia="zh-CN"/>
        </w:rPr>
        <w:t>。蛋白结合率约为</w:t>
      </w:r>
      <w:r>
        <w:rPr>
          <w:lang w:eastAsia="zh-CN"/>
        </w:rPr>
        <w:t>20%</w:t>
      </w:r>
      <w:r>
        <w:rPr>
          <w:rFonts w:hint="eastAsia"/>
          <w:lang w:eastAsia="zh-CN"/>
        </w:rPr>
        <w:t>～</w:t>
      </w:r>
      <w:r>
        <w:rPr>
          <w:lang w:eastAsia="zh-CN"/>
        </w:rPr>
        <w:t>30%</w:t>
      </w:r>
      <w:r>
        <w:rPr>
          <w:rFonts w:hint="eastAsia"/>
          <w:lang w:eastAsia="zh-CN"/>
        </w:rPr>
        <w:t>。本品在乳汁中的药浓度约相</w:t>
      </w:r>
    </w:p>
    <w:p>
      <w:pPr>
        <w:jc w:val="left"/>
        <w:rPr>
          <w:lang w:eastAsia="zh-CN"/>
        </w:rPr>
      </w:pPr>
      <w:r>
        <w:rPr>
          <w:rFonts w:hint="eastAsia"/>
          <w:lang w:eastAsia="zh-CN"/>
        </w:rPr>
        <w:t>当于母体血药浓度。</w:t>
      </w:r>
    </w:p>
    <w:p>
      <w:pPr>
        <w:rPr>
          <w:lang w:eastAsia="zh-CN"/>
        </w:rPr>
      </w:pPr>
      <w:r>
        <w:rPr>
          <w:rFonts w:hint="eastAsia"/>
          <w:lang w:eastAsia="zh-CN"/>
        </w:rPr>
        <w:t xml:space="preserve">        代谢：主要经肝脏代谢，约</w:t>
      </w:r>
      <w:r>
        <w:rPr>
          <w:lang w:eastAsia="zh-CN"/>
        </w:rPr>
        <w:t>15%</w:t>
      </w:r>
      <w:r>
        <w:rPr>
          <w:rFonts w:hint="eastAsia"/>
          <w:lang w:eastAsia="zh-CN"/>
        </w:rPr>
        <w:t>的给药量代谢成为无活性代谢物。</w:t>
      </w:r>
    </w:p>
    <w:p>
      <w:pPr>
        <w:ind w:leftChars="200" w:hanging="240" w:hangingChars="100"/>
        <w:rPr>
          <w:lang w:eastAsia="zh-CN"/>
        </w:rPr>
      </w:pPr>
      <w:r>
        <w:rPr>
          <w:rFonts w:hint="eastAsia"/>
          <w:lang w:eastAsia="zh-CN"/>
        </w:rPr>
        <w:t>排泄：经肾小球滤过和肾小管分泌排出；给药后约</w:t>
      </w:r>
      <w:r>
        <w:rPr>
          <w:lang w:eastAsia="zh-CN"/>
        </w:rPr>
        <w:t>80%</w:t>
      </w:r>
      <w:r>
        <w:rPr>
          <w:rFonts w:hint="eastAsia"/>
          <w:lang w:eastAsia="zh-CN"/>
        </w:rPr>
        <w:t>在</w:t>
      </w:r>
      <w:r>
        <w:rPr>
          <w:lang w:eastAsia="zh-CN"/>
        </w:rPr>
        <w:t>24</w:t>
      </w:r>
      <w:r>
        <w:rPr>
          <w:rFonts w:hint="eastAsia"/>
          <w:lang w:eastAsia="zh-CN"/>
        </w:rPr>
        <w:t>小时内排出，至少</w:t>
      </w:r>
    </w:p>
    <w:p>
      <w:pPr>
        <w:rPr>
          <w:lang w:eastAsia="zh-CN"/>
        </w:rPr>
      </w:pPr>
      <w:r>
        <w:rPr>
          <w:lang w:eastAsia="zh-CN"/>
        </w:rPr>
        <w:t>50%</w:t>
      </w:r>
      <w:r>
        <w:rPr>
          <w:rFonts w:hint="eastAsia"/>
          <w:lang w:eastAsia="zh-CN"/>
        </w:rPr>
        <w:t>以原形排泄，约</w:t>
      </w:r>
      <w:r>
        <w:rPr>
          <w:lang w:eastAsia="zh-CN"/>
        </w:rPr>
        <w:t>15%</w:t>
      </w:r>
      <w:r>
        <w:rPr>
          <w:rFonts w:hint="eastAsia"/>
          <w:lang w:eastAsia="zh-CN"/>
        </w:rPr>
        <w:t>为无活性代谢物。在粪便中以原形排出约</w:t>
      </w:r>
      <w:r>
        <w:rPr>
          <w:lang w:eastAsia="zh-CN"/>
        </w:rPr>
        <w:t>20%</w:t>
      </w:r>
      <w:r>
        <w:rPr>
          <w:rFonts w:hint="eastAsia"/>
          <w:lang w:eastAsia="zh-CN"/>
        </w:rPr>
        <w:t>。相当量的乙</w:t>
      </w:r>
    </w:p>
    <w:p>
      <w:pPr>
        <w:rPr>
          <w:lang w:eastAsia="zh-CN"/>
        </w:rPr>
      </w:pPr>
      <w:r>
        <w:rPr>
          <w:rFonts w:hint="eastAsia"/>
          <w:lang w:eastAsia="zh-CN"/>
        </w:rPr>
        <w:t>胺丁醇可经血液透析和腹膜透析从体内清除。</w:t>
      </w:r>
    </w:p>
    <w:p>
      <w:pPr>
        <w:pStyle w:val="4"/>
        <w:keepNext w:val="0"/>
        <w:keepLines w:val="0"/>
        <w:widowControl w:val="0"/>
        <w:numPr>
          <w:ilvl w:val="1"/>
          <w:numId w:val="10"/>
        </w:numPr>
        <w:autoSpaceDE w:val="0"/>
        <w:autoSpaceDN w:val="0"/>
        <w:adjustRightInd w:val="0"/>
        <w:spacing w:before="0" w:after="0" w:line="360" w:lineRule="auto"/>
        <w:ind w:left="0" w:firstLine="0"/>
        <w:contextualSpacing/>
        <w:rPr>
          <w:rFonts w:ascii="Times New Roman" w:hAnsi="Times New Roman" w:eastAsiaTheme="minorEastAsia"/>
          <w:sz w:val="24"/>
          <w:szCs w:val="24"/>
        </w:rPr>
      </w:pPr>
      <w:bookmarkStart w:id="104" w:name="_Toc460952486"/>
      <w:bookmarkStart w:id="105" w:name="_Toc521584555"/>
      <w:bookmarkStart w:id="106" w:name="_Toc446673705"/>
      <w:bookmarkStart w:id="107" w:name="_Toc460500104"/>
      <w:bookmarkStart w:id="108" w:name="_Toc10264"/>
      <w:bookmarkStart w:id="109" w:name="_Toc9178"/>
      <w:r>
        <w:rPr>
          <w:rFonts w:ascii="Times New Roman" w:hAnsi="Times New Roman" w:eastAsiaTheme="minorEastAsia"/>
          <w:sz w:val="24"/>
          <w:szCs w:val="24"/>
          <w:lang w:val="zh-TW" w:eastAsia="zh-TW"/>
        </w:rPr>
        <w:t>既往临床研究</w:t>
      </w:r>
      <w:bookmarkEnd w:id="104"/>
      <w:bookmarkEnd w:id="105"/>
      <w:bookmarkEnd w:id="106"/>
      <w:bookmarkEnd w:id="107"/>
      <w:bookmarkEnd w:id="108"/>
      <w:bookmarkEnd w:id="109"/>
    </w:p>
    <w:p>
      <w:pPr>
        <w:numPr>
          <w:ilvl w:val="0"/>
          <w:numId w:val="11"/>
        </w:numPr>
        <w:shd w:val="clear" w:color="auto" w:fill="FFFFFF"/>
        <w:spacing w:line="440" w:lineRule="exact"/>
        <w:ind w:hangingChars="300"/>
        <w:contextualSpacing/>
        <w:jc w:val="left"/>
        <w:rPr>
          <w:rFonts w:eastAsiaTheme="minorEastAsia"/>
          <w:lang w:val="zh-TW" w:eastAsia="zh-TW"/>
        </w:rPr>
      </w:pPr>
      <w:bookmarkStart w:id="110" w:name="_Toc478574584"/>
      <w:r>
        <w:rPr>
          <w:rFonts w:eastAsiaTheme="minorEastAsia"/>
          <w:lang w:val="zh-TW" w:eastAsia="zh-TW"/>
        </w:rPr>
        <w:t>参比制剂</w:t>
      </w:r>
      <w:r>
        <w:rPr>
          <w:rFonts w:hint="eastAsia" w:eastAsiaTheme="minorEastAsia"/>
          <w:vertAlign w:val="superscript"/>
          <w:lang w:eastAsia="zh-CN"/>
        </w:rPr>
        <w:t>[2]</w:t>
      </w:r>
    </w:p>
    <w:p>
      <w:pPr>
        <w:ind w:left="0" w:firstLine="480" w:firstLineChars="200"/>
        <w:rPr>
          <w:lang w:eastAsia="zh-CN"/>
        </w:rPr>
      </w:pPr>
      <w:r>
        <w:rPr>
          <w:rFonts w:hint="eastAsia"/>
          <w:lang w:eastAsia="zh-CN"/>
        </w:rPr>
        <w:t>12名健康成年男性空腹单次口服XXXXXX500mg（</w:t>
      </w:r>
      <w:r>
        <w:rPr>
          <w:lang w:eastAsia="zh-CN"/>
        </w:rPr>
        <w:t>125</w:t>
      </w:r>
      <w:r>
        <w:rPr>
          <w:rFonts w:hint="eastAsia"/>
          <w:lang w:eastAsia="zh-CN"/>
        </w:rPr>
        <w:t>mg</w:t>
      </w:r>
      <w:r>
        <w:rPr>
          <w:lang w:eastAsia="zh-CN"/>
        </w:rPr>
        <w:t>/片</w:t>
      </w:r>
      <w:r>
        <w:rPr>
          <w:rFonts w:hint="eastAsia"/>
          <w:lang w:eastAsia="zh-CN"/>
        </w:rPr>
        <w:t>，4片），结果显示最大血药浓度（C</w:t>
      </w:r>
      <w:r>
        <w:rPr>
          <w:rFonts w:hint="eastAsia"/>
          <w:vertAlign w:val="subscript"/>
          <w:lang w:eastAsia="zh-CN"/>
        </w:rPr>
        <w:t>max</w:t>
      </w:r>
      <w:r>
        <w:rPr>
          <w:rFonts w:hint="eastAsia"/>
          <w:lang w:eastAsia="zh-CN"/>
        </w:rPr>
        <w:t>）为1.75±0.41</w:t>
      </w:r>
      <w:r>
        <w:t>μ</w:t>
      </w:r>
      <w:r>
        <w:rPr>
          <w:rFonts w:hint="eastAsia"/>
          <w:lang w:eastAsia="zh-CN"/>
        </w:rPr>
        <w:t>g/ mL（血浆中），血药浓度达峰时间（T</w:t>
      </w:r>
      <w:r>
        <w:rPr>
          <w:rFonts w:hint="eastAsia"/>
          <w:vertAlign w:val="subscript"/>
          <w:lang w:eastAsia="zh-CN"/>
        </w:rPr>
        <w:t>max</w:t>
      </w:r>
      <w:r>
        <w:rPr>
          <w:rFonts w:hint="eastAsia"/>
          <w:lang w:eastAsia="zh-CN"/>
        </w:rPr>
        <w:t>）为2.8±0.6小时。</w:t>
      </w:r>
    </w:p>
    <w:p>
      <w:pPr>
        <w:ind w:firstLine="480"/>
      </w:pPr>
      <w:r>
        <w:rPr>
          <w:rFonts w:hint="eastAsia"/>
          <w:lang w:eastAsia="zh-CN"/>
        </w:rPr>
        <w:drawing>
          <wp:inline distT="0" distB="0" distL="0" distR="0">
            <wp:extent cx="2933065" cy="1716405"/>
            <wp:effectExtent l="0" t="0" r="635"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33065" cy="1716405"/>
                    </a:xfrm>
                    <a:prstGeom prst="rect">
                      <a:avLst/>
                    </a:prstGeom>
                    <a:noFill/>
                    <a:ln>
                      <a:noFill/>
                    </a:ln>
                  </pic:spPr>
                </pic:pic>
              </a:graphicData>
            </a:graphic>
          </wp:inline>
        </w:drawing>
      </w:r>
    </w:p>
    <w:p>
      <w:pPr>
        <w:ind w:firstLine="480"/>
        <w:jc w:val="center"/>
        <w:rPr>
          <w:sz w:val="21"/>
          <w:szCs w:val="18"/>
          <w:lang w:eastAsia="zh-CN"/>
        </w:rPr>
      </w:pPr>
      <w:r>
        <w:rPr>
          <w:rFonts w:hint="eastAsia"/>
          <w:sz w:val="21"/>
          <w:szCs w:val="18"/>
          <w:lang w:eastAsia="zh-CN"/>
        </w:rPr>
        <w:t>图1  单剂量服用</w:t>
      </w:r>
      <w:r>
        <w:rPr>
          <w:sz w:val="21"/>
          <w:szCs w:val="18"/>
          <w:lang w:eastAsia="zh-CN"/>
        </w:rPr>
        <w:t>125mg</w:t>
      </w:r>
      <w:r>
        <w:rPr>
          <w:rFonts w:hint="eastAsia"/>
          <w:sz w:val="21"/>
          <w:szCs w:val="18"/>
          <w:lang w:eastAsia="zh-CN"/>
        </w:rPr>
        <w:t>*4片剂的XXXXXX的血浆浓度</w:t>
      </w:r>
    </w:p>
    <w:p>
      <w:pPr>
        <w:ind w:firstLine="480"/>
        <w:jc w:val="center"/>
        <w:rPr>
          <w:szCs w:val="21"/>
          <w:lang w:eastAsia="zh-CN"/>
        </w:rPr>
      </w:pPr>
      <w:r>
        <w:rPr>
          <w:rFonts w:hint="eastAsia"/>
          <w:szCs w:val="21"/>
          <w:lang w:eastAsia="zh-CN"/>
        </w:rPr>
        <w:t>表2   药代动力学参数（平均值±标准差，</w:t>
      </w:r>
      <w:r>
        <w:rPr>
          <w:rFonts w:hint="eastAsia"/>
          <w:szCs w:val="21"/>
          <w:lang w:val="en-US" w:eastAsia="zh-CN"/>
        </w:rPr>
        <w:t>N</w:t>
      </w:r>
      <w:r>
        <w:rPr>
          <w:rFonts w:hint="eastAsia"/>
          <w:szCs w:val="21"/>
          <w:lang w:eastAsia="zh-CN"/>
        </w:rPr>
        <w:t>= 12）</w:t>
      </w:r>
    </w:p>
    <w:tbl>
      <w:tblPr>
        <w:tblStyle w:val="28"/>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808"/>
        <w:gridCol w:w="2310"/>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Align w:val="center"/>
          </w:tcPr>
          <w:p>
            <w:pPr>
              <w:widowControl w:val="0"/>
              <w:jc w:val="center"/>
              <w:rPr>
                <w:sz w:val="21"/>
                <w:szCs w:val="21"/>
              </w:rPr>
            </w:pPr>
            <w:r>
              <w:rPr>
                <w:rFonts w:hint="eastAsia"/>
                <w:sz w:val="21"/>
                <w:szCs w:val="21"/>
              </w:rPr>
              <w:t>剂量</w:t>
            </w:r>
          </w:p>
        </w:tc>
        <w:tc>
          <w:tcPr>
            <w:tcW w:w="2808" w:type="dxa"/>
            <w:vAlign w:val="center"/>
          </w:tcPr>
          <w:tbl>
            <w:tblPr>
              <w:tblStyle w:val="27"/>
              <w:tblW w:w="2106" w:type="dxa"/>
              <w:tblInd w:w="0" w:type="dxa"/>
              <w:tblLayout w:type="fixed"/>
              <w:tblCellMar>
                <w:top w:w="0" w:type="dxa"/>
                <w:left w:w="108" w:type="dxa"/>
                <w:bottom w:w="0" w:type="dxa"/>
                <w:right w:w="108" w:type="dxa"/>
              </w:tblCellMar>
            </w:tblPr>
            <w:tblGrid>
              <w:gridCol w:w="2106"/>
            </w:tblGrid>
            <w:tr>
              <w:tblPrEx>
                <w:tblLayout w:type="fixed"/>
                <w:tblCellMar>
                  <w:top w:w="0" w:type="dxa"/>
                  <w:left w:w="108" w:type="dxa"/>
                  <w:bottom w:w="0" w:type="dxa"/>
                  <w:right w:w="108" w:type="dxa"/>
                </w:tblCellMar>
              </w:tblPrEx>
              <w:trPr>
                <w:trHeight w:val="262" w:hRule="atLeast"/>
              </w:trPr>
              <w:tc>
                <w:tcPr>
                  <w:tcW w:w="2106" w:type="dxa"/>
                </w:tcPr>
                <w:p>
                  <w:pPr>
                    <w:jc w:val="center"/>
                    <w:rPr>
                      <w:sz w:val="21"/>
                      <w:szCs w:val="21"/>
                      <w:vertAlign w:val="subscript"/>
                    </w:rPr>
                  </w:pPr>
                  <w:r>
                    <w:rPr>
                      <w:sz w:val="21"/>
                      <w:szCs w:val="21"/>
                    </w:rPr>
                    <w:t>AUC</w:t>
                  </w:r>
                  <w:r>
                    <w:rPr>
                      <w:sz w:val="21"/>
                      <w:szCs w:val="21"/>
                      <w:vertAlign w:val="subscript"/>
                    </w:rPr>
                    <w:t xml:space="preserve"> 0→24</w:t>
                  </w:r>
                </w:p>
                <w:p>
                  <w:pPr>
                    <w:jc w:val="center"/>
                    <w:rPr>
                      <w:sz w:val="21"/>
                      <w:szCs w:val="21"/>
                    </w:rPr>
                  </w:pPr>
                  <w:r>
                    <w:rPr>
                      <w:sz w:val="21"/>
                      <w:szCs w:val="21"/>
                    </w:rPr>
                    <w:t>（μg</w:t>
                  </w:r>
                  <w:r>
                    <w:rPr>
                      <w:rFonts w:hint="eastAsia" w:ascii="MS Mincho" w:hAnsi="MS Mincho" w:eastAsia="MS Mincho" w:cs="MS Mincho"/>
                      <w:sz w:val="21"/>
                      <w:szCs w:val="21"/>
                    </w:rPr>
                    <w:t>・</w:t>
                  </w:r>
                  <w:r>
                    <w:rPr>
                      <w:sz w:val="21"/>
                      <w:szCs w:val="21"/>
                    </w:rPr>
                    <w:t xml:space="preserve">hr/mL </w:t>
                  </w:r>
                  <w:r>
                    <w:rPr>
                      <w:rFonts w:hint="eastAsia"/>
                      <w:sz w:val="21"/>
                      <w:szCs w:val="21"/>
                    </w:rPr>
                    <w:t>血漿）</w:t>
                  </w:r>
                </w:p>
              </w:tc>
            </w:tr>
          </w:tbl>
          <w:p>
            <w:pPr>
              <w:widowControl w:val="0"/>
              <w:jc w:val="center"/>
              <w:rPr>
                <w:sz w:val="21"/>
                <w:szCs w:val="21"/>
              </w:rPr>
            </w:pPr>
          </w:p>
        </w:tc>
        <w:tc>
          <w:tcPr>
            <w:tcW w:w="2310" w:type="dxa"/>
            <w:vAlign w:val="center"/>
          </w:tcPr>
          <w:p>
            <w:pPr>
              <w:widowControl w:val="0"/>
              <w:jc w:val="center"/>
              <w:rPr>
                <w:sz w:val="21"/>
                <w:szCs w:val="21"/>
              </w:rPr>
            </w:pPr>
            <w:r>
              <w:rPr>
                <w:sz w:val="21"/>
                <w:szCs w:val="21"/>
              </w:rPr>
              <w:t>C</w:t>
            </w:r>
            <w:r>
              <w:rPr>
                <w:sz w:val="21"/>
                <w:szCs w:val="21"/>
                <w:vertAlign w:val="subscript"/>
              </w:rPr>
              <w:t>max</w:t>
            </w:r>
            <w:r>
              <w:rPr>
                <w:rFonts w:hint="eastAsia"/>
                <w:sz w:val="21"/>
                <w:szCs w:val="21"/>
              </w:rPr>
              <w:t>（</w:t>
            </w:r>
            <w:r>
              <w:rPr>
                <w:sz w:val="21"/>
                <w:szCs w:val="21"/>
              </w:rPr>
              <w:t xml:space="preserve">μg/mL </w:t>
            </w:r>
            <w:r>
              <w:rPr>
                <w:rFonts w:hint="eastAsia"/>
                <w:sz w:val="21"/>
                <w:szCs w:val="21"/>
              </w:rPr>
              <w:t>血漿）</w:t>
            </w:r>
          </w:p>
        </w:tc>
        <w:tc>
          <w:tcPr>
            <w:tcW w:w="2309" w:type="dxa"/>
            <w:vAlign w:val="center"/>
          </w:tcPr>
          <w:p>
            <w:pPr>
              <w:widowControl w:val="0"/>
              <w:jc w:val="center"/>
              <w:rPr>
                <w:sz w:val="21"/>
                <w:szCs w:val="21"/>
              </w:rPr>
            </w:pPr>
            <w:r>
              <w:rPr>
                <w:sz w:val="21"/>
                <w:szCs w:val="21"/>
              </w:rPr>
              <w:t>T</w:t>
            </w:r>
            <w:r>
              <w:rPr>
                <w:sz w:val="21"/>
                <w:szCs w:val="21"/>
                <w:vertAlign w:val="subscript"/>
              </w:rPr>
              <w:t>max</w:t>
            </w:r>
            <w:r>
              <w:rPr>
                <w:rFonts w:hint="eastAsia"/>
                <w:sz w:val="21"/>
                <w:szCs w:val="21"/>
              </w:rPr>
              <w:t>（</w:t>
            </w:r>
            <w:r>
              <w:rPr>
                <w:sz w:val="21"/>
                <w:szCs w:val="21"/>
              </w:rPr>
              <w:t>hr</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808" w:type="dxa"/>
            <w:vAlign w:val="center"/>
          </w:tcPr>
          <w:p>
            <w:pPr>
              <w:pStyle w:val="92"/>
              <w:jc w:val="center"/>
              <w:rPr>
                <w:rFonts w:ascii="Times New Roman" w:hAnsi="Times New Roman" w:cs="ＭＳ"/>
                <w:sz w:val="21"/>
                <w:szCs w:val="21"/>
              </w:rPr>
            </w:pPr>
            <w:r>
              <w:rPr>
                <w:rFonts w:ascii="Times New Roman" w:hAnsi="Times New Roman"/>
                <w:sz w:val="21"/>
                <w:szCs w:val="21"/>
              </w:rPr>
              <w:t>125mg</w:t>
            </w:r>
            <w:r>
              <w:rPr>
                <w:rFonts w:hint="eastAsia" w:ascii="Times New Roman" w:hAnsi="Times New Roman" w:cs="ＭＳ"/>
                <w:sz w:val="21"/>
                <w:szCs w:val="21"/>
              </w:rPr>
              <w:t>片×</w:t>
            </w:r>
            <w:r>
              <w:rPr>
                <w:rFonts w:ascii="Times New Roman" w:hAnsi="Times New Roman"/>
                <w:sz w:val="21"/>
                <w:szCs w:val="21"/>
              </w:rPr>
              <w:t>4</w:t>
            </w:r>
            <w:r>
              <w:rPr>
                <w:rFonts w:hint="eastAsia" w:ascii="Times New Roman" w:hAnsi="Times New Roman" w:cs="ＭＳ"/>
                <w:sz w:val="21"/>
                <w:szCs w:val="21"/>
              </w:rPr>
              <w:t>片</w:t>
            </w:r>
          </w:p>
        </w:tc>
        <w:tc>
          <w:tcPr>
            <w:tcW w:w="2808" w:type="dxa"/>
            <w:vAlign w:val="center"/>
          </w:tcPr>
          <w:p>
            <w:pPr>
              <w:pStyle w:val="92"/>
              <w:jc w:val="center"/>
              <w:rPr>
                <w:rFonts w:ascii="Times New Roman" w:hAnsi="Times New Roman" w:cs="Times New Roman"/>
                <w:sz w:val="21"/>
                <w:szCs w:val="21"/>
              </w:rPr>
            </w:pPr>
            <w:r>
              <w:rPr>
                <w:rFonts w:ascii="Times New Roman" w:hAnsi="Times New Roman" w:cs="Times New Roman"/>
                <w:sz w:val="21"/>
                <w:szCs w:val="21"/>
              </w:rPr>
              <w:t>8.98±1.69</w:t>
            </w:r>
          </w:p>
        </w:tc>
        <w:tc>
          <w:tcPr>
            <w:tcW w:w="2310" w:type="dxa"/>
            <w:vAlign w:val="center"/>
          </w:tcPr>
          <w:p>
            <w:pPr>
              <w:pStyle w:val="92"/>
              <w:jc w:val="center"/>
              <w:rPr>
                <w:rFonts w:ascii="Times New Roman" w:hAnsi="Times New Roman" w:cs="Times New Roman"/>
                <w:sz w:val="21"/>
                <w:szCs w:val="21"/>
              </w:rPr>
            </w:pPr>
            <w:r>
              <w:rPr>
                <w:rFonts w:ascii="Times New Roman" w:hAnsi="Times New Roman" w:cs="Times New Roman"/>
                <w:sz w:val="21"/>
                <w:szCs w:val="21"/>
              </w:rPr>
              <w:t>1.75±0.41</w:t>
            </w:r>
          </w:p>
        </w:tc>
        <w:tc>
          <w:tcPr>
            <w:tcW w:w="2309" w:type="dxa"/>
            <w:vAlign w:val="center"/>
          </w:tcPr>
          <w:p>
            <w:pPr>
              <w:pStyle w:val="92"/>
              <w:jc w:val="center"/>
              <w:rPr>
                <w:rFonts w:ascii="Times New Roman" w:hAnsi="Times New Roman" w:cs="Times New Roman"/>
                <w:sz w:val="21"/>
                <w:szCs w:val="21"/>
              </w:rPr>
            </w:pPr>
            <w:r>
              <w:rPr>
                <w:rFonts w:ascii="Times New Roman" w:hAnsi="Times New Roman" w:cs="Times New Roman"/>
                <w:sz w:val="21"/>
                <w:szCs w:val="21"/>
              </w:rPr>
              <w:t>2.8±0.6</w:t>
            </w:r>
          </w:p>
        </w:tc>
      </w:tr>
      <w:bookmarkEnd w:id="110"/>
    </w:tbl>
    <w:p>
      <w:pPr>
        <w:ind w:leftChars="200" w:hanging="240" w:hangingChars="100"/>
        <w:rPr>
          <w:lang w:eastAsia="zh-CN"/>
        </w:rPr>
      </w:pPr>
      <w:bookmarkStart w:id="111" w:name="_Toc32421"/>
      <w:r>
        <w:rPr>
          <w:rFonts w:hint="eastAsia"/>
          <w:lang w:eastAsia="zh-CN"/>
        </w:rPr>
        <w:t>此外， 10名健康成人口服给药单剂量的XXXXXX25mg / kg时，其在2~4小</w:t>
      </w:r>
    </w:p>
    <w:p>
      <w:pPr>
        <w:rPr>
          <w:lang w:eastAsia="zh-CN"/>
        </w:rPr>
      </w:pPr>
      <w:r>
        <w:rPr>
          <w:rFonts w:hint="eastAsia"/>
          <w:lang w:eastAsia="zh-CN"/>
        </w:rPr>
        <w:t>时后血药浓度达到最高，并且大多数在服用后24小时从血液中消除。</w:t>
      </w:r>
      <w:bookmarkEnd w:id="111"/>
    </w:p>
    <w:p>
      <w:pPr>
        <w:shd w:val="clear" w:color="auto" w:fill="FFFFFF"/>
        <w:ind w:left="0" w:firstLine="28" w:firstLineChars="12"/>
        <w:contextualSpacing/>
        <w:jc w:val="left"/>
        <w:rPr>
          <w:rFonts w:eastAsiaTheme="minorEastAsia"/>
        </w:rPr>
      </w:pPr>
      <w:r>
        <w:rPr>
          <w:lang w:eastAsia="zh-CN"/>
        </w:rPr>
        <w:drawing>
          <wp:inline distT="0" distB="0" distL="0" distR="0">
            <wp:extent cx="4252595" cy="2226945"/>
            <wp:effectExtent l="0" t="0" r="1905"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252595" cy="2226945"/>
                    </a:xfrm>
                    <a:prstGeom prst="rect">
                      <a:avLst/>
                    </a:prstGeom>
                  </pic:spPr>
                </pic:pic>
              </a:graphicData>
            </a:graphic>
          </wp:inline>
        </w:drawing>
      </w:r>
    </w:p>
    <w:p>
      <w:pPr>
        <w:shd w:val="clear" w:color="auto" w:fill="FFFFFF"/>
        <w:ind w:left="0" w:firstLine="28" w:firstLineChars="12"/>
        <w:contextualSpacing/>
        <w:jc w:val="left"/>
        <w:rPr>
          <w:rFonts w:eastAsiaTheme="minorEastAsia"/>
          <w:bCs/>
          <w:lang w:eastAsia="zh-CN"/>
        </w:rPr>
      </w:pPr>
      <w:r>
        <w:rPr>
          <w:rFonts w:eastAsiaTheme="minorEastAsia"/>
          <w:lang w:eastAsia="zh-CN"/>
        </w:rPr>
        <w:t>2）受试制剂</w:t>
      </w:r>
    </w:p>
    <w:p>
      <w:pPr>
        <w:pStyle w:val="91"/>
        <w:widowControl w:val="0"/>
        <w:autoSpaceDE w:val="0"/>
        <w:autoSpaceDN w:val="0"/>
        <w:adjustRightInd w:val="0"/>
        <w:ind w:left="0" w:firstLine="480"/>
        <w:contextualSpacing/>
        <w:rPr>
          <w:rFonts w:eastAsiaTheme="minorEastAsia"/>
          <w:sz w:val="24"/>
          <w:lang w:eastAsia="zh-CN"/>
        </w:rPr>
      </w:pPr>
      <w:r>
        <w:rPr>
          <w:rFonts w:eastAsiaTheme="minorEastAsia"/>
          <w:sz w:val="24"/>
          <w:lang w:eastAsia="zh-CN"/>
        </w:rPr>
        <w:t>尚未检索到相关数据。</w:t>
      </w:r>
    </w:p>
    <w:p>
      <w:pPr>
        <w:pStyle w:val="4"/>
        <w:keepNext w:val="0"/>
        <w:keepLines w:val="0"/>
        <w:widowControl w:val="0"/>
        <w:numPr>
          <w:ilvl w:val="1"/>
          <w:numId w:val="10"/>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112" w:name="_Toc446673706"/>
      <w:bookmarkStart w:id="113" w:name="_Toc460500105"/>
      <w:bookmarkStart w:id="114" w:name="_Toc4140"/>
      <w:bookmarkStart w:id="115" w:name="_Toc460952487"/>
      <w:bookmarkStart w:id="116" w:name="_Toc521584556"/>
      <w:bookmarkStart w:id="117" w:name="_Toc4116"/>
      <w:r>
        <w:rPr>
          <w:rFonts w:ascii="Times New Roman" w:hAnsi="Times New Roman" w:eastAsiaTheme="minorEastAsia"/>
          <w:sz w:val="24"/>
          <w:szCs w:val="24"/>
          <w:lang w:val="zh-TW" w:eastAsia="zh-TW"/>
        </w:rPr>
        <w:t>详细的方案</w:t>
      </w:r>
      <w:bookmarkEnd w:id="112"/>
      <w:bookmarkEnd w:id="113"/>
      <w:bookmarkEnd w:id="114"/>
      <w:r>
        <w:rPr>
          <w:rFonts w:ascii="Times New Roman" w:hAnsi="Times New Roman" w:eastAsiaTheme="minorEastAsia"/>
          <w:sz w:val="24"/>
          <w:szCs w:val="24"/>
          <w:lang w:val="zh-TW" w:eastAsia="zh-TW"/>
        </w:rPr>
        <w:t>设计</w:t>
      </w:r>
      <w:bookmarkEnd w:id="115"/>
      <w:bookmarkEnd w:id="116"/>
      <w:bookmarkEnd w:id="117"/>
    </w:p>
    <w:p>
      <w:pPr>
        <w:pStyle w:val="69"/>
        <w:numPr>
          <w:ilvl w:val="0"/>
          <w:numId w:val="12"/>
        </w:numPr>
        <w:autoSpaceDE w:val="0"/>
        <w:autoSpaceDN w:val="0"/>
        <w:snapToGrid/>
        <w:contextualSpacing/>
        <w:rPr>
          <w:rFonts w:eastAsiaTheme="minorEastAsia"/>
        </w:rPr>
      </w:pPr>
      <w:bookmarkStart w:id="118" w:name="_Toc12745"/>
      <w:bookmarkStart w:id="119" w:name="_Toc446673707"/>
      <w:bookmarkStart w:id="120" w:name="_Toc460500106"/>
      <w:bookmarkStart w:id="121" w:name="_Toc22953"/>
      <w:bookmarkStart w:id="122" w:name="_Toc521584557"/>
      <w:r>
        <w:rPr>
          <w:rFonts w:eastAsiaTheme="minorEastAsia"/>
        </w:rPr>
        <w:t>基本设计考虑</w:t>
      </w:r>
      <w:bookmarkEnd w:id="118"/>
      <w:bookmarkEnd w:id="119"/>
      <w:bookmarkEnd w:id="120"/>
      <w:bookmarkEnd w:id="121"/>
      <w:bookmarkEnd w:id="122"/>
    </w:p>
    <w:p>
      <w:pPr>
        <w:pStyle w:val="50"/>
        <w:autoSpaceDE w:val="0"/>
        <w:autoSpaceDN w:val="0"/>
        <w:adjustRightInd w:val="0"/>
        <w:ind w:left="0" w:firstLine="480" w:firstLineChars="200"/>
        <w:contextualSpacing/>
        <w:rPr>
          <w:rFonts w:eastAsiaTheme="minorEastAsia"/>
          <w:color w:val="auto"/>
          <w:kern w:val="0"/>
          <w:lang w:val="zh-TW" w:eastAsia="zh-TW"/>
        </w:rPr>
      </w:pPr>
      <w:r>
        <w:rPr>
          <w:rFonts w:eastAsiaTheme="minorEastAsia"/>
          <w:color w:val="auto"/>
          <w:kern w:val="0"/>
          <w:lang w:val="zh-TW" w:eastAsia="zh-TW"/>
        </w:rPr>
        <w:t>依据</w:t>
      </w:r>
      <w:r>
        <w:rPr>
          <w:rFonts w:eastAsiaTheme="minorEastAsia"/>
          <w:color w:val="auto"/>
          <w:kern w:val="0"/>
          <w:lang w:val="zh-TW"/>
        </w:rPr>
        <w:t>《</w:t>
      </w:r>
      <w:r>
        <w:rPr>
          <w:rFonts w:eastAsiaTheme="minorEastAsia"/>
          <w:color w:val="auto"/>
          <w:kern w:val="0"/>
          <w:lang w:val="zh-TW" w:eastAsia="zh-TW"/>
        </w:rPr>
        <w:t>以药动学参数为终点评价指标的化学药物仿制药人体生物等效性研究技术指导原则</w:t>
      </w:r>
      <w:r>
        <w:rPr>
          <w:rFonts w:eastAsiaTheme="minorEastAsia"/>
          <w:color w:val="auto"/>
          <w:kern w:val="0"/>
          <w:lang w:val="zh-TW"/>
        </w:rPr>
        <w:t>》201</w:t>
      </w:r>
      <w:r>
        <w:rPr>
          <w:rFonts w:eastAsiaTheme="minorEastAsia"/>
          <w:color w:val="auto"/>
          <w:kern w:val="0"/>
        </w:rPr>
        <w:t>6</w:t>
      </w:r>
      <w:r>
        <w:rPr>
          <w:rFonts w:eastAsiaTheme="minorEastAsia"/>
          <w:color w:val="auto"/>
          <w:kern w:val="0"/>
          <w:lang w:val="zh-TW"/>
        </w:rPr>
        <w:t>年版</w:t>
      </w:r>
      <w:r>
        <w:rPr>
          <w:rFonts w:eastAsiaTheme="minorEastAsia"/>
          <w:color w:val="auto"/>
          <w:kern w:val="0"/>
          <w:lang w:val="zh-TW" w:eastAsia="zh-TW"/>
        </w:rPr>
        <w:t>入组受试者性别的建议：</w:t>
      </w:r>
      <w:r>
        <w:rPr>
          <w:rFonts w:eastAsiaTheme="minorEastAsia"/>
          <w:color w:val="auto"/>
          <w:kern w:val="0"/>
          <w:lang w:val="zh-TW"/>
        </w:rPr>
        <w:t>本试验</w:t>
      </w:r>
      <w:r>
        <w:rPr>
          <w:rFonts w:eastAsiaTheme="minorEastAsia"/>
          <w:color w:val="auto"/>
          <w:kern w:val="0"/>
          <w:lang w:val="zh-TW" w:eastAsia="zh-TW"/>
        </w:rPr>
        <w:t>将入选男性和女性受试者。参考FDA</w:t>
      </w:r>
      <w:r>
        <w:rPr>
          <w:rFonts w:hint="eastAsia" w:eastAsiaTheme="minorEastAsia"/>
          <w:color w:val="auto"/>
          <w:kern w:val="0"/>
          <w:lang w:eastAsia="zh-TW"/>
        </w:rPr>
        <w:t xml:space="preserve">.Guidance on Ethambutol Hydrochloride </w:t>
      </w:r>
      <w:r>
        <w:rPr>
          <w:rFonts w:eastAsiaTheme="minorEastAsia"/>
          <w:color w:val="auto"/>
          <w:kern w:val="0"/>
          <w:vertAlign w:val="superscript"/>
          <w:lang w:val="zh-TW" w:eastAsia="zh-TW"/>
        </w:rPr>
        <w:t>[</w:t>
      </w:r>
      <w:r>
        <w:rPr>
          <w:rFonts w:hint="eastAsia" w:eastAsiaTheme="minorEastAsia"/>
          <w:color w:val="auto"/>
          <w:kern w:val="0"/>
          <w:vertAlign w:val="superscript"/>
          <w:lang w:eastAsia="zh-TW"/>
        </w:rPr>
        <w:t>4</w:t>
      </w:r>
      <w:r>
        <w:rPr>
          <w:rFonts w:eastAsiaTheme="minorEastAsia"/>
          <w:color w:val="auto"/>
          <w:kern w:val="0"/>
          <w:vertAlign w:val="superscript"/>
          <w:lang w:val="zh-TW" w:eastAsia="zh-TW"/>
        </w:rPr>
        <w:t>]</w:t>
      </w:r>
      <w:r>
        <w:rPr>
          <w:rFonts w:eastAsiaTheme="minorEastAsia"/>
          <w:color w:val="auto"/>
          <w:kern w:val="0"/>
          <w:lang w:val="zh-TW" w:eastAsia="zh-TW"/>
        </w:rPr>
        <w:t>，建议本品进行空腹及餐后两种条件下的等效性评价试验，此外，建议采用两周期自身交叉、单次给药试验设计。</w:t>
      </w:r>
    </w:p>
    <w:p>
      <w:pPr>
        <w:pStyle w:val="3"/>
        <w:autoSpaceDE w:val="0"/>
        <w:autoSpaceDN w:val="0"/>
        <w:adjustRightInd w:val="0"/>
        <w:ind w:leftChars="200" w:hanging="240" w:hangingChars="100"/>
        <w:contextualSpacing/>
        <w:rPr>
          <w:rFonts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lang w:val="zh-TW" w:eastAsia="zh-TW"/>
        </w:rPr>
        <w:t>基于以上资料，本生物等效性</w:t>
      </w:r>
      <w:r>
        <w:rPr>
          <w:rFonts w:hint="eastAsia" w:ascii="Times New Roman" w:hAnsi="Times New Roman" w:cs="Times New Roman" w:eastAsiaTheme="minorEastAsia"/>
          <w:color w:val="auto"/>
          <w:sz w:val="24"/>
          <w:szCs w:val="24"/>
          <w:lang w:val="zh-TW"/>
        </w:rPr>
        <w:t>试验</w:t>
      </w:r>
      <w:r>
        <w:rPr>
          <w:rFonts w:ascii="Times New Roman" w:hAnsi="Times New Roman" w:cs="Times New Roman" w:eastAsiaTheme="minorEastAsia"/>
          <w:color w:val="auto"/>
          <w:sz w:val="24"/>
          <w:szCs w:val="24"/>
          <w:lang w:val="zh-TW" w:eastAsia="zh-TW"/>
        </w:rPr>
        <w:t>设计为：</w:t>
      </w:r>
    </w:p>
    <w:p>
      <w:pPr>
        <w:pStyle w:val="3"/>
        <w:numPr>
          <w:ilvl w:val="0"/>
          <w:numId w:val="13"/>
        </w:numPr>
        <w:autoSpaceDE w:val="0"/>
        <w:autoSpaceDN w:val="0"/>
        <w:adjustRightInd w:val="0"/>
        <w:contextualSpacing/>
        <w:rPr>
          <w:rFonts w:ascii="Times New Roman" w:hAnsi="Times New Roman" w:eastAsia="宋体" w:cs="Times New Roman"/>
          <w:color w:val="auto"/>
          <w:kern w:val="0"/>
          <w:sz w:val="24"/>
          <w:szCs w:val="24"/>
          <w:lang w:eastAsia="zh-TW"/>
        </w:rPr>
      </w:pPr>
      <w:r>
        <w:rPr>
          <w:rFonts w:ascii="Times New Roman" w:hAnsi="Times New Roman" w:eastAsia="宋体" w:cs="Times New Roman"/>
          <w:color w:val="auto"/>
          <w:kern w:val="0"/>
          <w:sz w:val="24"/>
          <w:szCs w:val="24"/>
          <w:lang w:eastAsia="zh-TW"/>
        </w:rPr>
        <w:t>试验</w:t>
      </w:r>
      <w:r>
        <w:rPr>
          <w:rFonts w:hint="eastAsia" w:ascii="Times New Roman" w:hAnsi="Times New Roman" w:eastAsia="宋体" w:cs="Times New Roman"/>
          <w:color w:val="auto"/>
          <w:kern w:val="0"/>
          <w:sz w:val="24"/>
          <w:szCs w:val="24"/>
        </w:rPr>
        <w:t>方式</w:t>
      </w:r>
      <w:r>
        <w:rPr>
          <w:rFonts w:ascii="Times New Roman" w:hAnsi="Times New Roman" w:eastAsia="宋体" w:cs="Times New Roman"/>
          <w:color w:val="auto"/>
          <w:kern w:val="0"/>
          <w:sz w:val="24"/>
          <w:szCs w:val="24"/>
          <w:lang w:eastAsia="zh-TW"/>
        </w:rPr>
        <w:t>：单中心、随机、开放、单剂量、两制剂、两序列、</w:t>
      </w:r>
      <w:r>
        <w:rPr>
          <w:rFonts w:ascii="Times New Roman" w:hAnsi="Times New Roman" w:eastAsia="宋体" w:cs="Times New Roman"/>
          <w:color w:val="auto"/>
          <w:kern w:val="0"/>
          <w:sz w:val="24"/>
          <w:szCs w:val="24"/>
        </w:rPr>
        <w:t>两</w:t>
      </w:r>
      <w:r>
        <w:rPr>
          <w:rFonts w:ascii="Times New Roman" w:hAnsi="Times New Roman" w:eastAsia="宋体" w:cs="Times New Roman"/>
          <w:color w:val="auto"/>
          <w:kern w:val="0"/>
          <w:sz w:val="24"/>
          <w:szCs w:val="24"/>
          <w:lang w:eastAsia="zh-TW"/>
        </w:rPr>
        <w:t>周期交叉给药、</w:t>
      </w:r>
      <w:r>
        <w:rPr>
          <w:rFonts w:ascii="Times New Roman" w:hAnsi="Times New Roman" w:eastAsia="宋体" w:cs="Times New Roman"/>
          <w:color w:val="auto"/>
          <w:kern w:val="0"/>
          <w:sz w:val="24"/>
          <w:szCs w:val="24"/>
        </w:rPr>
        <w:t>空腹/</w:t>
      </w:r>
      <w:r>
        <w:rPr>
          <w:rFonts w:hint="eastAsia" w:ascii="Times New Roman" w:hAnsi="Times New Roman" w:eastAsia="宋体" w:cs="Times New Roman"/>
          <w:color w:val="auto"/>
          <w:kern w:val="0"/>
          <w:sz w:val="24"/>
          <w:szCs w:val="24"/>
        </w:rPr>
        <w:t>高脂</w:t>
      </w:r>
      <w:r>
        <w:rPr>
          <w:rFonts w:ascii="Times New Roman" w:hAnsi="Times New Roman" w:eastAsia="宋体" w:cs="Times New Roman"/>
          <w:color w:val="auto"/>
          <w:kern w:val="0"/>
          <w:sz w:val="24"/>
          <w:szCs w:val="24"/>
        </w:rPr>
        <w:t>餐后人体</w:t>
      </w:r>
      <w:r>
        <w:rPr>
          <w:rFonts w:ascii="Times New Roman" w:hAnsi="Times New Roman" w:eastAsia="宋体" w:cs="Times New Roman"/>
          <w:color w:val="auto"/>
          <w:kern w:val="0"/>
          <w:sz w:val="24"/>
          <w:szCs w:val="24"/>
          <w:lang w:eastAsia="zh-TW"/>
        </w:rPr>
        <w:t>生物等效性</w:t>
      </w:r>
      <w:r>
        <w:rPr>
          <w:rFonts w:hint="eastAsia" w:ascii="Times New Roman" w:hAnsi="Times New Roman" w:eastAsia="宋体" w:cs="Times New Roman"/>
          <w:color w:val="auto"/>
          <w:kern w:val="0"/>
          <w:sz w:val="24"/>
          <w:szCs w:val="24"/>
        </w:rPr>
        <w:t>试验</w:t>
      </w:r>
      <w:r>
        <w:rPr>
          <w:rFonts w:ascii="Times New Roman" w:hAnsi="Times New Roman" w:eastAsia="宋体" w:cs="Times New Roman"/>
          <w:color w:val="auto"/>
          <w:kern w:val="0"/>
          <w:sz w:val="24"/>
          <w:szCs w:val="24"/>
          <w:lang w:eastAsia="zh-TW"/>
        </w:rPr>
        <w:t>。</w:t>
      </w:r>
    </w:p>
    <w:p>
      <w:pPr>
        <w:pStyle w:val="3"/>
        <w:numPr>
          <w:ilvl w:val="0"/>
          <w:numId w:val="13"/>
        </w:numPr>
        <w:autoSpaceDE w:val="0"/>
        <w:autoSpaceDN w:val="0"/>
        <w:adjustRightInd w:val="0"/>
        <w:contextualSpacing/>
        <w:rPr>
          <w:rFonts w:ascii="Times New Roman" w:hAnsi="Times New Roman" w:eastAsia="宋体" w:cs="Times New Roman"/>
          <w:color w:val="auto"/>
          <w:kern w:val="0"/>
          <w:sz w:val="24"/>
          <w:szCs w:val="24"/>
          <w:lang w:eastAsia="zh-TW"/>
        </w:rPr>
      </w:pPr>
      <w:r>
        <w:rPr>
          <w:rFonts w:ascii="Times New Roman" w:hAnsi="Times New Roman" w:eastAsia="宋体" w:cs="Times New Roman"/>
          <w:color w:val="auto"/>
          <w:kern w:val="0"/>
          <w:sz w:val="24"/>
          <w:szCs w:val="24"/>
          <w:lang w:eastAsia="zh-TW"/>
        </w:rPr>
        <w:t>受试人群：普通人群，男女均有</w:t>
      </w:r>
      <w:r>
        <w:rPr>
          <w:rFonts w:ascii="Times New Roman" w:hAnsi="Times New Roman" w:eastAsia="宋体" w:cs="Times New Roman"/>
          <w:color w:val="auto"/>
          <w:kern w:val="0"/>
          <w:sz w:val="24"/>
          <w:szCs w:val="24"/>
        </w:rPr>
        <w:t>，性别比例适当</w:t>
      </w:r>
      <w:r>
        <w:rPr>
          <w:rFonts w:ascii="Times New Roman" w:hAnsi="Times New Roman" w:eastAsia="宋体" w:cs="Times New Roman"/>
          <w:color w:val="auto"/>
          <w:kern w:val="0"/>
          <w:sz w:val="24"/>
          <w:szCs w:val="24"/>
          <w:lang w:eastAsia="zh-TW"/>
        </w:rPr>
        <w:t>。入排和剔除标准基本参考</w:t>
      </w:r>
      <w:r>
        <w:rPr>
          <w:rFonts w:hint="eastAsia" w:ascii="Times New Roman" w:hAnsi="Times New Roman" w:eastAsia="宋体" w:cs="Times New Roman"/>
          <w:color w:val="auto"/>
          <w:kern w:val="0"/>
          <w:sz w:val="24"/>
          <w:szCs w:val="24"/>
        </w:rPr>
        <w:t>国家药品监督管理局</w:t>
      </w:r>
      <w:r>
        <w:rPr>
          <w:rFonts w:ascii="Times New Roman" w:hAnsi="Times New Roman" w:eastAsia="宋体" w:cs="Times New Roman"/>
          <w:color w:val="auto"/>
          <w:kern w:val="0"/>
          <w:sz w:val="24"/>
          <w:szCs w:val="24"/>
          <w:lang w:eastAsia="zh-TW"/>
        </w:rPr>
        <w:t>颁布的生物等效性研究指导原则的要求。</w:t>
      </w:r>
    </w:p>
    <w:p>
      <w:pPr>
        <w:pStyle w:val="3"/>
        <w:numPr>
          <w:ilvl w:val="0"/>
          <w:numId w:val="13"/>
        </w:numPr>
        <w:autoSpaceDE w:val="0"/>
        <w:autoSpaceDN w:val="0"/>
        <w:adjustRightInd w:val="0"/>
        <w:contextualSpacing/>
        <w:rPr>
          <w:rFonts w:ascii="Times New Roman" w:hAnsi="Times New Roman" w:eastAsia="宋体" w:cs="Times New Roman"/>
          <w:color w:val="auto"/>
          <w:kern w:val="0"/>
          <w:sz w:val="24"/>
          <w:szCs w:val="24"/>
          <w:lang w:eastAsia="zh-TW"/>
        </w:rPr>
      </w:pPr>
      <w:r>
        <w:rPr>
          <w:rFonts w:ascii="Times New Roman" w:hAnsi="Times New Roman" w:eastAsia="宋体" w:cs="Times New Roman"/>
          <w:color w:val="auto"/>
          <w:kern w:val="0"/>
          <w:sz w:val="24"/>
          <w:szCs w:val="24"/>
          <w:lang w:eastAsia="zh-TW"/>
        </w:rPr>
        <w:t>试验中的关键点：确保受试者服药、饮食、饮水的依从性，按照预先设定的时间抽血，样品处理，储存，预防不良事件的发生。</w:t>
      </w:r>
    </w:p>
    <w:p>
      <w:pPr>
        <w:pStyle w:val="3"/>
        <w:numPr>
          <w:ilvl w:val="0"/>
          <w:numId w:val="13"/>
        </w:numPr>
        <w:autoSpaceDE w:val="0"/>
        <w:autoSpaceDN w:val="0"/>
        <w:adjustRightInd w:val="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kern w:val="0"/>
          <w:sz w:val="24"/>
          <w:szCs w:val="24"/>
          <w:lang w:eastAsia="zh-TW"/>
        </w:rPr>
        <w:t>随机分组方法：受试者</w:t>
      </w:r>
      <w:r>
        <w:rPr>
          <w:rFonts w:ascii="Times New Roman" w:hAnsi="Times New Roman" w:eastAsia="宋体" w:cs="Times New Roman"/>
          <w:color w:val="auto"/>
          <w:kern w:val="0"/>
          <w:sz w:val="24"/>
          <w:szCs w:val="24"/>
        </w:rPr>
        <w:t>按</w:t>
      </w:r>
      <w:r>
        <w:rPr>
          <w:rFonts w:ascii="Times New Roman" w:hAnsi="Times New Roman" w:eastAsia="宋体" w:cs="Times New Roman"/>
          <w:color w:val="auto"/>
          <w:kern w:val="0"/>
          <w:sz w:val="24"/>
          <w:szCs w:val="24"/>
          <w:lang w:eastAsia="zh-TW"/>
        </w:rPr>
        <w:t>筛选号</w:t>
      </w:r>
      <w:r>
        <w:rPr>
          <w:rFonts w:ascii="Times New Roman" w:hAnsi="Times New Roman" w:eastAsia="宋体" w:cs="Times New Roman"/>
          <w:color w:val="auto"/>
          <w:kern w:val="0"/>
          <w:sz w:val="24"/>
          <w:szCs w:val="24"/>
        </w:rPr>
        <w:t>顺序</w:t>
      </w:r>
      <w:r>
        <w:rPr>
          <w:rFonts w:ascii="Times New Roman" w:hAnsi="Times New Roman" w:eastAsia="宋体" w:cs="Times New Roman"/>
          <w:color w:val="auto"/>
          <w:sz w:val="24"/>
          <w:szCs w:val="24"/>
          <w:lang w:val="zh-TW" w:eastAsia="zh-TW"/>
        </w:rPr>
        <w:t>1</w:t>
      </w:r>
      <w:r>
        <w:rPr>
          <w:rFonts w:hint="eastAsia" w:ascii="Times New Roman" w:hAnsi="Times New Roman" w:eastAsia="宋体" w:cs="Times New Roman"/>
          <w:color w:val="auto"/>
          <w:sz w:val="24"/>
          <w:szCs w:val="24"/>
          <w:lang w:val="zh-TW"/>
        </w:rPr>
        <w:t>：1</w:t>
      </w:r>
      <w:r>
        <w:rPr>
          <w:rFonts w:ascii="Times New Roman" w:hAnsi="Times New Roman" w:eastAsia="宋体" w:cs="Times New Roman"/>
          <w:color w:val="auto"/>
          <w:sz w:val="24"/>
          <w:szCs w:val="24"/>
          <w:lang w:val="zh-TW" w:eastAsia="zh-TW"/>
        </w:rPr>
        <w:t>比例随机分配到2个给药顺序组（</w:t>
      </w:r>
      <w:r>
        <w:rPr>
          <w:rFonts w:hint="eastAsia" w:ascii="Times New Roman" w:hAnsi="Times New Roman" w:eastAsia="宋体" w:cs="Times New Roman"/>
          <w:color w:val="auto"/>
          <w:sz w:val="24"/>
          <w:szCs w:val="24"/>
          <w:lang w:val="zh-TW"/>
        </w:rPr>
        <w:t>T-R组/R-T组</w:t>
      </w:r>
      <w:r>
        <w:rPr>
          <w:rFonts w:ascii="Times New Roman" w:hAnsi="Times New Roman" w:eastAsia="宋体" w:cs="Times New Roman"/>
          <w:color w:val="auto"/>
          <w:sz w:val="24"/>
          <w:szCs w:val="24"/>
          <w:lang w:val="zh-TW" w:eastAsia="zh-TW"/>
        </w:rPr>
        <w:t>）之一。</w:t>
      </w:r>
    </w:p>
    <w:p>
      <w:pPr>
        <w:pStyle w:val="3"/>
        <w:numPr>
          <w:ilvl w:val="0"/>
          <w:numId w:val="13"/>
        </w:numPr>
        <w:autoSpaceDE w:val="0"/>
        <w:autoSpaceDN w:val="0"/>
        <w:adjustRightInd w:val="0"/>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kern w:val="0"/>
          <w:sz w:val="24"/>
          <w:szCs w:val="24"/>
          <w:lang w:eastAsia="zh-TW"/>
        </w:rPr>
        <w:t>给药剂量：</w:t>
      </w:r>
      <w:r>
        <w:rPr>
          <w:rFonts w:hint="eastAsia" w:ascii="Times New Roman" w:hAnsi="Times New Roman" w:cs="Times New Roman" w:eastAsiaTheme="minorEastAsia"/>
          <w:sz w:val="24"/>
          <w:szCs w:val="24"/>
          <w:lang w:eastAsia="zh-CN"/>
        </w:rPr>
        <w:t>XX</w:t>
      </w:r>
      <w:r>
        <w:rPr>
          <w:rFonts w:hint="eastAsia" w:ascii="Times New Roman" w:hAnsi="Times New Roman" w:cs="Times New Roman" w:eastAsiaTheme="minorEastAsia"/>
          <w:sz w:val="24"/>
          <w:szCs w:val="24"/>
        </w:rPr>
        <w:t>g</w:t>
      </w:r>
      <w:r>
        <w:rPr>
          <w:rFonts w:ascii="Times New Roman" w:hAnsi="Times New Roman" w:cs="Times New Roman" w:eastAsiaTheme="minorEastAsia"/>
          <w:sz w:val="24"/>
          <w:szCs w:val="24"/>
        </w:rPr>
        <w:t>（1</w:t>
      </w:r>
      <w:r>
        <w:rPr>
          <w:rFonts w:hint="eastAsia" w:ascii="Times New Roman" w:hAnsi="Times New Roman" w:cs="Times New Roman" w:eastAsiaTheme="minorEastAsia"/>
          <w:sz w:val="24"/>
          <w:szCs w:val="24"/>
        </w:rPr>
        <w:t>片</w:t>
      </w:r>
      <w:r>
        <w:rPr>
          <w:rFonts w:ascii="Times New Roman" w:hAnsi="Times New Roman" w:cs="Times New Roman" w:eastAsiaTheme="minorEastAsia"/>
          <w:sz w:val="24"/>
          <w:szCs w:val="24"/>
        </w:rPr>
        <w:t>）</w:t>
      </w:r>
      <w:r>
        <w:rPr>
          <w:rFonts w:ascii="Times New Roman" w:hAnsi="Times New Roman" w:cs="Times New Roman" w:eastAsiaTheme="minorEastAsia"/>
          <w:color w:val="auto"/>
          <w:sz w:val="24"/>
          <w:szCs w:val="24"/>
          <w:lang w:val="zh-TW"/>
        </w:rPr>
        <w:t>。</w:t>
      </w:r>
    </w:p>
    <w:p>
      <w:pPr>
        <w:pStyle w:val="3"/>
        <w:numPr>
          <w:ilvl w:val="0"/>
          <w:numId w:val="13"/>
        </w:numPr>
        <w:autoSpaceDE w:val="0"/>
        <w:autoSpaceDN w:val="0"/>
        <w:adjustRightInd w:val="0"/>
        <w:contextualSpacing/>
        <w:rPr>
          <w:rFonts w:ascii="Times New Roman" w:hAnsi="Times New Roman" w:cs="Times New Roman" w:eastAsiaTheme="minorEastAsia"/>
          <w:color w:val="auto"/>
          <w:kern w:val="0"/>
          <w:sz w:val="24"/>
          <w:szCs w:val="24"/>
          <w:lang w:eastAsia="zh-TW"/>
        </w:rPr>
      </w:pPr>
      <w:r>
        <w:rPr>
          <w:rFonts w:ascii="Times New Roman" w:hAnsi="Times New Roman" w:cs="Times New Roman" w:eastAsiaTheme="minorEastAsia"/>
          <w:color w:val="auto"/>
          <w:kern w:val="0"/>
          <w:sz w:val="24"/>
          <w:szCs w:val="24"/>
          <w:lang w:eastAsia="zh-TW"/>
        </w:rPr>
        <w:t>给药方法：餐后口</w:t>
      </w:r>
      <w:r>
        <w:rPr>
          <w:rFonts w:ascii="Times New Roman" w:hAnsi="Times New Roman" w:cs="Times New Roman" w:eastAsiaTheme="minorEastAsia"/>
          <w:color w:val="auto"/>
          <w:kern w:val="0"/>
          <w:sz w:val="24"/>
          <w:szCs w:val="24"/>
        </w:rPr>
        <w:t>服研究药物，切勿咀嚼。240ml</w:t>
      </w:r>
      <w:r>
        <w:rPr>
          <w:rFonts w:hint="eastAsia" w:ascii="Times New Roman" w:hAnsi="Times New Roman" w:cs="Times New Roman" w:eastAsiaTheme="minorEastAsia"/>
          <w:color w:val="auto"/>
          <w:kern w:val="0"/>
          <w:sz w:val="24"/>
          <w:szCs w:val="24"/>
        </w:rPr>
        <w:t>温水</w:t>
      </w:r>
      <w:r>
        <w:rPr>
          <w:rFonts w:ascii="Times New Roman" w:hAnsi="Times New Roman" w:cs="Times New Roman" w:eastAsiaTheme="minorEastAsia"/>
          <w:color w:val="auto"/>
          <w:kern w:val="0"/>
          <w:sz w:val="24"/>
          <w:szCs w:val="24"/>
        </w:rPr>
        <w:t>送服。</w:t>
      </w:r>
    </w:p>
    <w:p>
      <w:pPr>
        <w:pStyle w:val="3"/>
        <w:numPr>
          <w:ilvl w:val="0"/>
          <w:numId w:val="13"/>
        </w:numPr>
        <w:autoSpaceDE w:val="0"/>
        <w:autoSpaceDN w:val="0"/>
        <w:adjustRightInd w:val="0"/>
        <w:contextualSpacing/>
        <w:rPr>
          <w:rFonts w:ascii="Times New Roman" w:hAnsi="Times New Roman" w:cs="Times New Roman" w:eastAsiaTheme="minorEastAsia"/>
          <w:color w:val="auto"/>
          <w:kern w:val="0"/>
          <w:sz w:val="24"/>
          <w:szCs w:val="24"/>
          <w:lang w:eastAsia="zh-TW"/>
        </w:rPr>
      </w:pPr>
      <w:r>
        <w:rPr>
          <w:rFonts w:ascii="Times New Roman" w:hAnsi="Times New Roman" w:cs="Times New Roman" w:eastAsiaTheme="minorEastAsia"/>
          <w:color w:val="auto"/>
          <w:kern w:val="0"/>
          <w:sz w:val="24"/>
          <w:szCs w:val="24"/>
          <w:lang w:eastAsia="zh-TW"/>
        </w:rPr>
        <w:t>采样方法：采集全血，至</w:t>
      </w:r>
      <w:r>
        <w:rPr>
          <w:rFonts w:hint="eastAsia" w:ascii="Times New Roman" w:hAnsi="Times New Roman" w:cs="Times New Roman" w:eastAsiaTheme="minorEastAsia"/>
          <w:color w:val="auto"/>
          <w:kern w:val="0"/>
          <w:sz w:val="24"/>
          <w:szCs w:val="24"/>
          <w:lang w:eastAsia="zh-TW"/>
        </w:rPr>
        <w:t>含</w:t>
      </w:r>
      <w:r>
        <w:rPr>
          <w:rFonts w:ascii="Times New Roman" w:hAnsi="Times New Roman" w:cs="Times New Roman" w:eastAsiaTheme="minorEastAsia"/>
          <w:color w:val="auto"/>
          <w:kern w:val="0"/>
          <w:sz w:val="24"/>
          <w:szCs w:val="24"/>
        </w:rPr>
        <w:t>EDTA-K</w:t>
      </w:r>
      <w:r>
        <w:rPr>
          <w:rFonts w:ascii="Times New Roman" w:hAnsi="Times New Roman" w:cs="Times New Roman" w:eastAsiaTheme="minorEastAsia"/>
          <w:color w:val="auto"/>
          <w:kern w:val="0"/>
          <w:sz w:val="24"/>
          <w:szCs w:val="24"/>
          <w:vertAlign w:val="subscript"/>
        </w:rPr>
        <w:t>2</w:t>
      </w:r>
      <w:r>
        <w:rPr>
          <w:rFonts w:ascii="Times New Roman" w:hAnsi="Times New Roman" w:cs="Times New Roman" w:eastAsiaTheme="minorEastAsia"/>
          <w:color w:val="auto"/>
          <w:kern w:val="0"/>
          <w:sz w:val="24"/>
          <w:szCs w:val="24"/>
          <w:lang w:eastAsia="zh-TW"/>
        </w:rPr>
        <w:t>的抗凝管，分离血浆</w:t>
      </w:r>
      <w:r>
        <w:rPr>
          <w:rFonts w:ascii="Times New Roman" w:hAnsi="Times New Roman" w:cs="Times New Roman" w:eastAsiaTheme="minorEastAsia"/>
          <w:color w:val="auto"/>
          <w:kern w:val="0"/>
          <w:sz w:val="24"/>
          <w:szCs w:val="24"/>
        </w:rPr>
        <w:t>。</w:t>
      </w:r>
    </w:p>
    <w:p>
      <w:pPr>
        <w:pStyle w:val="3"/>
        <w:numPr>
          <w:ilvl w:val="0"/>
          <w:numId w:val="13"/>
        </w:numPr>
        <w:autoSpaceDE w:val="0"/>
        <w:autoSpaceDN w:val="0"/>
        <w:adjustRightInd w:val="0"/>
        <w:contextualSpacing/>
        <w:rPr>
          <w:rFonts w:ascii="Times New Roman" w:hAnsi="Times New Roman" w:cs="Times New Roman" w:eastAsiaTheme="minorEastAsia"/>
          <w:color w:val="auto"/>
          <w:kern w:val="0"/>
          <w:sz w:val="24"/>
          <w:szCs w:val="24"/>
          <w:lang w:eastAsia="zh-TW"/>
        </w:rPr>
      </w:pPr>
      <w:r>
        <w:rPr>
          <w:rFonts w:ascii="Times New Roman" w:hAnsi="Times New Roman" w:cs="Times New Roman" w:eastAsiaTheme="minorEastAsia"/>
          <w:color w:val="auto"/>
          <w:kern w:val="0"/>
          <w:sz w:val="24"/>
          <w:szCs w:val="24"/>
        </w:rPr>
        <w:t>采血时间点：</w:t>
      </w:r>
      <w:r>
        <w:rPr>
          <w:rFonts w:hint="eastAsia" w:ascii="Times New Roman" w:hAnsi="Times New Roman" w:cs="Times New Roman" w:eastAsiaTheme="minorEastAsia"/>
          <w:color w:val="auto"/>
          <w:kern w:val="0"/>
          <w:sz w:val="24"/>
          <w:szCs w:val="24"/>
        </w:rPr>
        <w:t>空腹试验：给药前</w:t>
      </w:r>
      <w:r>
        <w:rPr>
          <w:rFonts w:ascii="Times New Roman" w:hAnsi="Times New Roman" w:eastAsia="宋体" w:cs="Times New Roman"/>
          <w:color w:val="auto"/>
          <w:sz w:val="24"/>
          <w:szCs w:val="24"/>
        </w:rPr>
        <w:t>0h（给药前60min）</w:t>
      </w:r>
      <w:r>
        <w:rPr>
          <w:rFonts w:hint="eastAsia" w:ascii="Times New Roman" w:hAnsi="Times New Roman" w:eastAsia="宋体" w:cs="Times New Roman"/>
          <w:color w:val="auto"/>
          <w:sz w:val="24"/>
          <w:szCs w:val="24"/>
        </w:rPr>
        <w:t>和给药后</w:t>
      </w:r>
      <w:r>
        <w:rPr>
          <w:rFonts w:ascii="Times New Roman" w:hAnsi="Times New Roman" w:eastAsia="宋体" w:cs="Times New Roman"/>
          <w:color w:val="auto"/>
          <w:sz w:val="24"/>
          <w:szCs w:val="24"/>
        </w:rPr>
        <w:t>0.5、1.0、</w:t>
      </w:r>
      <w:r>
        <w:rPr>
          <w:rFonts w:hint="eastAsia" w:ascii="Times New Roman" w:hAnsi="Times New Roman" w:eastAsia="宋体" w:cs="Times New Roman"/>
          <w:color w:val="auto"/>
          <w:sz w:val="24"/>
          <w:szCs w:val="24"/>
        </w:rPr>
        <w:t>1.5、</w:t>
      </w:r>
      <w:r>
        <w:rPr>
          <w:rFonts w:ascii="Times New Roman" w:hAnsi="Times New Roman" w:eastAsia="宋体" w:cs="Times New Roman"/>
          <w:color w:val="auto"/>
          <w:sz w:val="24"/>
          <w:szCs w:val="24"/>
        </w:rPr>
        <w:t>2.0、2.</w:t>
      </w:r>
      <w:r>
        <w:rPr>
          <w:rFonts w:hint="eastAsia" w:ascii="Times New Roman" w:hAnsi="Times New Roman" w:eastAsia="宋体" w:cs="Times New Roman"/>
          <w:color w:val="auto"/>
          <w:sz w:val="24"/>
          <w:szCs w:val="24"/>
        </w:rPr>
        <w:t>33</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2.67、</w:t>
      </w:r>
      <w:r>
        <w:rPr>
          <w:rFonts w:ascii="Times New Roman" w:hAnsi="Times New Roman" w:eastAsia="宋体" w:cs="Times New Roman"/>
          <w:color w:val="auto"/>
          <w:sz w:val="24"/>
          <w:szCs w:val="24"/>
        </w:rPr>
        <w:t>3.0、</w:t>
      </w:r>
      <w:r>
        <w:rPr>
          <w:rFonts w:hint="eastAsia" w:ascii="Times New Roman" w:hAnsi="Times New Roman" w:eastAsia="宋体" w:cs="Times New Roman"/>
          <w:color w:val="auto"/>
          <w:sz w:val="24"/>
          <w:szCs w:val="24"/>
        </w:rPr>
        <w:t>3.33</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3.67、</w:t>
      </w:r>
      <w:r>
        <w:rPr>
          <w:rFonts w:ascii="Times New Roman" w:hAnsi="Times New Roman" w:eastAsia="宋体" w:cs="Times New Roman"/>
          <w:color w:val="auto"/>
          <w:sz w:val="24"/>
          <w:szCs w:val="24"/>
        </w:rPr>
        <w:t>4.0、</w:t>
      </w:r>
      <w:r>
        <w:rPr>
          <w:rFonts w:hint="eastAsia" w:ascii="Times New Roman" w:hAnsi="Times New Roman" w:eastAsia="宋体" w:cs="Times New Roman"/>
          <w:color w:val="auto"/>
          <w:sz w:val="24"/>
          <w:szCs w:val="24"/>
        </w:rPr>
        <w:t>4.5、</w:t>
      </w:r>
      <w:r>
        <w:rPr>
          <w:rFonts w:ascii="Times New Roman" w:hAnsi="Times New Roman" w:eastAsia="宋体" w:cs="Times New Roman"/>
          <w:color w:val="auto"/>
          <w:sz w:val="24"/>
          <w:szCs w:val="24"/>
        </w:rPr>
        <w:t>5.0、6.0、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.0、12.0、24.0、36.0、48.0h共1</w:t>
      </w:r>
      <w:r>
        <w:rPr>
          <w:rFonts w:hint="eastAsia" w:ascii="Times New Roman" w:hAnsi="Times New Roman" w:eastAsia="宋体" w:cs="Times New Roman"/>
          <w:color w:val="auto"/>
          <w:sz w:val="24"/>
          <w:szCs w:val="24"/>
        </w:rPr>
        <w:t>9个采血点</w:t>
      </w:r>
      <w:r>
        <w:rPr>
          <w:rFonts w:ascii="Times New Roman" w:hAnsi="Times New Roman" w:cs="Times New Roman" w:eastAsiaTheme="minorEastAsia"/>
          <w:color w:val="auto"/>
          <w:sz w:val="24"/>
          <w:szCs w:val="24"/>
          <w:lang w:val="zh-TW"/>
        </w:rPr>
        <w:t>。</w:t>
      </w:r>
      <w:r>
        <w:rPr>
          <w:rFonts w:hint="eastAsia" w:ascii="Times New Roman" w:hAnsi="Times New Roman" w:cs="Times New Roman" w:eastAsiaTheme="minorEastAsia"/>
          <w:color w:val="auto"/>
          <w:sz w:val="24"/>
          <w:szCs w:val="24"/>
        </w:rPr>
        <w:t>餐后试验的采血点：</w:t>
      </w:r>
      <w:r>
        <w:rPr>
          <w:rFonts w:hint="eastAsia" w:ascii="Times New Roman" w:hAnsi="Times New Roman" w:cs="Times New Roman" w:eastAsiaTheme="minorEastAsia"/>
          <w:color w:val="auto"/>
          <w:kern w:val="0"/>
          <w:sz w:val="24"/>
          <w:szCs w:val="24"/>
        </w:rPr>
        <w:t>给药前</w:t>
      </w:r>
      <w:r>
        <w:rPr>
          <w:rFonts w:ascii="Times New Roman" w:hAnsi="Times New Roman" w:eastAsia="宋体" w:cs="Times New Roman"/>
          <w:color w:val="auto"/>
          <w:sz w:val="24"/>
          <w:szCs w:val="24"/>
        </w:rPr>
        <w:t>0h（给药前60min）</w:t>
      </w:r>
      <w:r>
        <w:rPr>
          <w:rFonts w:hint="eastAsia" w:ascii="Times New Roman" w:hAnsi="Times New Roman" w:eastAsia="宋体" w:cs="Times New Roman"/>
          <w:color w:val="auto"/>
          <w:sz w:val="24"/>
          <w:szCs w:val="24"/>
        </w:rPr>
        <w:t>和给药后</w:t>
      </w:r>
      <w:r>
        <w:rPr>
          <w:rFonts w:ascii="Times New Roman" w:hAnsi="Times New Roman" w:eastAsia="宋体" w:cs="Times New Roman"/>
          <w:color w:val="auto"/>
          <w:sz w:val="24"/>
          <w:szCs w:val="24"/>
        </w:rPr>
        <w:t>0.5、1.0、1.5、2.0、2.5、3.0、3.5、4.0、4.5、5.0、6.0、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.0、12.0、24.0、36.0、48.0h共1</w:t>
      </w:r>
      <w:r>
        <w:rPr>
          <w:rFonts w:hint="eastAsia" w:ascii="Times New Roman" w:hAnsi="Times New Roman" w:eastAsia="宋体" w:cs="Times New Roman"/>
          <w:color w:val="auto"/>
          <w:sz w:val="24"/>
          <w:szCs w:val="24"/>
        </w:rPr>
        <w:t>7</w:t>
      </w:r>
      <w:r>
        <w:rPr>
          <w:rFonts w:ascii="Times New Roman" w:hAnsi="Times New Roman" w:eastAsia="宋体" w:cs="Times New Roman"/>
          <w:color w:val="auto"/>
          <w:sz w:val="24"/>
          <w:szCs w:val="24"/>
        </w:rPr>
        <w:t>个采血点</w:t>
      </w:r>
      <w:r>
        <w:rPr>
          <w:rFonts w:hint="eastAsia" w:ascii="Times New Roman" w:hAnsi="Times New Roman" w:eastAsia="宋体" w:cs="Times New Roman"/>
          <w:color w:val="auto"/>
          <w:sz w:val="24"/>
          <w:szCs w:val="24"/>
        </w:rPr>
        <w:t>。</w:t>
      </w:r>
    </w:p>
    <w:p>
      <w:pPr>
        <w:pStyle w:val="3"/>
        <w:numPr>
          <w:ilvl w:val="0"/>
          <w:numId w:val="13"/>
        </w:numPr>
        <w:autoSpaceDE w:val="0"/>
        <w:autoSpaceDN w:val="0"/>
        <w:adjustRightInd w:val="0"/>
        <w:contextualSpacing/>
        <w:rPr>
          <w:rFonts w:ascii="Times New Roman" w:hAnsi="Times New Roman" w:cs="Times New Roman" w:eastAsiaTheme="minorEastAsia"/>
          <w:color w:val="auto"/>
          <w:kern w:val="0"/>
          <w:sz w:val="24"/>
          <w:szCs w:val="24"/>
          <w:lang w:eastAsia="zh-TW"/>
        </w:rPr>
      </w:pPr>
      <w:r>
        <w:rPr>
          <w:rFonts w:ascii="Times New Roman" w:hAnsi="Times New Roman" w:cs="Times New Roman" w:eastAsiaTheme="minorEastAsia"/>
          <w:color w:val="auto"/>
          <w:kern w:val="0"/>
          <w:sz w:val="24"/>
          <w:szCs w:val="24"/>
          <w:lang w:eastAsia="zh-TW"/>
        </w:rPr>
        <w:t>检测物质：</w:t>
      </w:r>
      <w:r>
        <w:rPr>
          <w:rFonts w:hint="eastAsia" w:ascii="Times New Roman" w:hAnsi="Times New Roman" w:cs="Times New Roman" w:eastAsiaTheme="minorEastAsia"/>
          <w:color w:val="auto"/>
          <w:kern w:val="0"/>
          <w:sz w:val="24"/>
          <w:szCs w:val="24"/>
        </w:rPr>
        <w:t xml:space="preserve">根据本品药代动力学特征和FDA. Guidance on Ethambutol Hydrochloride </w:t>
      </w:r>
      <w:r>
        <w:rPr>
          <w:rFonts w:eastAsiaTheme="minorEastAsia"/>
          <w:color w:val="auto"/>
          <w:kern w:val="0"/>
          <w:vertAlign w:val="superscript"/>
          <w:lang w:val="zh-TW"/>
        </w:rPr>
        <w:t>[</w:t>
      </w:r>
      <w:r>
        <w:rPr>
          <w:rFonts w:hint="eastAsia" w:eastAsiaTheme="minorEastAsia"/>
          <w:color w:val="auto"/>
          <w:kern w:val="0"/>
          <w:vertAlign w:val="superscript"/>
        </w:rPr>
        <w:t>4</w:t>
      </w:r>
      <w:r>
        <w:rPr>
          <w:rFonts w:eastAsiaTheme="minorEastAsia"/>
          <w:color w:val="auto"/>
          <w:kern w:val="0"/>
          <w:vertAlign w:val="superscript"/>
          <w:lang w:val="zh-TW"/>
        </w:rPr>
        <w:t>]</w:t>
      </w:r>
      <w:r>
        <w:rPr>
          <w:rFonts w:hint="eastAsia" w:ascii="Times New Roman" w:hAnsi="Times New Roman" w:cs="Times New Roman" w:eastAsiaTheme="minorEastAsia"/>
          <w:color w:val="auto"/>
          <w:kern w:val="0"/>
          <w:sz w:val="24"/>
          <w:szCs w:val="24"/>
        </w:rPr>
        <w:t xml:space="preserve"> ，检测血浆中的</w:t>
      </w:r>
      <w:r>
        <w:rPr>
          <w:rFonts w:ascii="Times New Roman" w:hAnsi="Times New Roman" w:cs="Times New Roman" w:eastAsiaTheme="minorEastAsia"/>
          <w:sz w:val="24"/>
          <w:szCs w:val="24"/>
        </w:rPr>
        <w:fldChar w:fldCharType="begin"/>
      </w:r>
      <w:r>
        <w:rPr>
          <w:rFonts w:ascii="Times New Roman" w:hAnsi="Times New Roman" w:cs="Times New Roman" w:eastAsiaTheme="minorEastAsia"/>
          <w:sz w:val="24"/>
          <w:szCs w:val="24"/>
        </w:rPr>
        <w:instrText xml:space="preserve"> MERGEFIELD 检测产物 </w:instrText>
      </w:r>
      <w:r>
        <w:rPr>
          <w:rFonts w:ascii="Times New Roman" w:hAnsi="Times New Roman" w:cs="Times New Roman" w:eastAsiaTheme="minorEastAsia"/>
          <w:sz w:val="24"/>
          <w:szCs w:val="24"/>
        </w:rPr>
        <w:fldChar w:fldCharType="separate"/>
      </w:r>
      <w:r>
        <w:rPr>
          <w:rFonts w:hint="eastAsia" w:ascii="Times New Roman" w:hAnsi="Times New Roman" w:cs="Times New Roman" w:eastAsiaTheme="minorEastAsia"/>
          <w:sz w:val="24"/>
          <w:szCs w:val="24"/>
        </w:rPr>
        <w:t>乙胺丁醇</w:t>
      </w:r>
      <w:r>
        <w:rPr>
          <w:rFonts w:ascii="Times New Roman" w:hAnsi="Times New Roman" w:cs="Times New Roman" w:eastAsiaTheme="minorEastAsia"/>
          <w:sz w:val="24"/>
          <w:szCs w:val="24"/>
        </w:rPr>
        <w:fldChar w:fldCharType="end"/>
      </w:r>
      <w:r>
        <w:rPr>
          <w:rFonts w:ascii="Times New Roman" w:hAnsi="Times New Roman" w:cs="Times New Roman" w:eastAsiaTheme="minorEastAsia"/>
          <w:color w:val="auto"/>
          <w:kern w:val="0"/>
          <w:lang w:val="zh-TW"/>
        </w:rPr>
        <w:t>。</w:t>
      </w:r>
    </w:p>
    <w:p>
      <w:pPr>
        <w:pStyle w:val="3"/>
        <w:numPr>
          <w:ilvl w:val="0"/>
          <w:numId w:val="13"/>
        </w:numPr>
        <w:autoSpaceDE w:val="0"/>
        <w:autoSpaceDN w:val="0"/>
        <w:adjustRightInd w:val="0"/>
        <w:contextualSpacing/>
        <w:rPr>
          <w:rFonts w:ascii="Times New Roman" w:hAnsi="Times New Roman" w:cs="Times New Roman" w:eastAsiaTheme="minorEastAsia"/>
          <w:color w:val="auto"/>
          <w:kern w:val="0"/>
          <w:sz w:val="24"/>
          <w:szCs w:val="24"/>
          <w:lang w:val="zh-TW" w:eastAsia="zh-TW"/>
        </w:rPr>
      </w:pPr>
      <w:r>
        <w:rPr>
          <w:rFonts w:hint="eastAsia" w:ascii="Times New Roman" w:hAnsi="Times New Roman" w:cs="Times New Roman" w:eastAsiaTheme="minorEastAsia"/>
          <w:color w:val="auto"/>
          <w:kern w:val="0"/>
          <w:sz w:val="24"/>
          <w:szCs w:val="24"/>
          <w:lang w:val="en-US" w:eastAsia="zh-CN"/>
        </w:rPr>
        <w:t xml:space="preserve"> </w:t>
      </w:r>
      <w:r>
        <w:rPr>
          <w:rFonts w:ascii="Times New Roman" w:hAnsi="Times New Roman" w:cs="Times New Roman" w:eastAsiaTheme="minorEastAsia"/>
          <w:color w:val="auto"/>
          <w:kern w:val="0"/>
          <w:sz w:val="24"/>
          <w:szCs w:val="24"/>
          <w:lang w:val="en-US" w:eastAsia="zh-TW"/>
        </w:rPr>
        <w:t>安全性</w:t>
      </w:r>
      <w:r>
        <w:rPr>
          <w:rFonts w:ascii="Times New Roman" w:hAnsi="Times New Roman" w:cs="Times New Roman" w:eastAsiaTheme="minorEastAsia"/>
          <w:color w:val="auto"/>
          <w:kern w:val="0"/>
          <w:sz w:val="24"/>
          <w:szCs w:val="24"/>
          <w:lang w:val="zh-TW" w:eastAsia="zh-TW"/>
        </w:rPr>
        <w:t>评价：于每周期服药前1h内和服药后</w:t>
      </w:r>
      <w:r>
        <w:rPr>
          <w:rFonts w:ascii="Times New Roman" w:hAnsi="Times New Roman" w:cs="Times New Roman" w:eastAsiaTheme="minorEastAsia"/>
          <w:color w:val="auto"/>
          <w:kern w:val="0"/>
          <w:sz w:val="24"/>
          <w:szCs w:val="24"/>
          <w:lang w:val="en-US" w:eastAsia="zh-TW"/>
        </w:rPr>
        <w:fldChar w:fldCharType="begin"/>
      </w:r>
      <w:r>
        <w:rPr>
          <w:rFonts w:ascii="Times New Roman" w:hAnsi="Times New Roman" w:cs="Times New Roman" w:eastAsiaTheme="minorEastAsia"/>
          <w:color w:val="auto"/>
          <w:kern w:val="0"/>
          <w:sz w:val="24"/>
          <w:szCs w:val="24"/>
          <w:lang w:val="en-US" w:eastAsia="zh-TW"/>
        </w:rPr>
        <w:instrText xml:space="preserve"> MERGEFIELD 空腹体征 </w:instrText>
      </w:r>
      <w:r>
        <w:rPr>
          <w:rFonts w:ascii="Times New Roman" w:hAnsi="Times New Roman" w:cs="Times New Roman" w:eastAsiaTheme="minorEastAsia"/>
          <w:color w:val="auto"/>
          <w:kern w:val="0"/>
          <w:sz w:val="24"/>
          <w:szCs w:val="24"/>
          <w:lang w:val="en-US" w:eastAsia="zh-TW"/>
        </w:rPr>
        <w:fldChar w:fldCharType="separate"/>
      </w:r>
      <w:r>
        <w:rPr>
          <w:rFonts w:ascii="Times New Roman" w:hAnsi="Times New Roman" w:cs="Times New Roman" w:eastAsiaTheme="minorEastAsia"/>
          <w:color w:val="auto"/>
          <w:kern w:val="0"/>
          <w:sz w:val="24"/>
          <w:szCs w:val="24"/>
          <w:lang w:val="en-US" w:eastAsia="zh-TW"/>
        </w:rPr>
        <w:t>1±0.5h、3±0.5h、</w:t>
      </w:r>
      <w:r>
        <w:rPr>
          <w:rFonts w:hint="eastAsia" w:ascii="Times New Roman" w:hAnsi="Times New Roman" w:cs="Times New Roman" w:eastAsiaTheme="minorEastAsia"/>
          <w:color w:val="auto"/>
          <w:kern w:val="0"/>
          <w:sz w:val="24"/>
          <w:szCs w:val="24"/>
          <w:lang w:val="en-US" w:eastAsia="zh-TW"/>
        </w:rPr>
        <w:t>12</w:t>
      </w:r>
      <w:r>
        <w:rPr>
          <w:rFonts w:ascii="Times New Roman" w:hAnsi="Times New Roman" w:cs="Times New Roman" w:eastAsiaTheme="minorEastAsia"/>
          <w:color w:val="auto"/>
          <w:kern w:val="0"/>
          <w:sz w:val="24"/>
          <w:szCs w:val="24"/>
          <w:lang w:val="en-US" w:eastAsia="zh-TW"/>
        </w:rPr>
        <w:t>±</w:t>
      </w:r>
      <w:r>
        <w:rPr>
          <w:rFonts w:hint="eastAsia" w:ascii="Times New Roman" w:hAnsi="Times New Roman" w:cs="Times New Roman" w:eastAsiaTheme="minorEastAsia"/>
          <w:color w:val="auto"/>
          <w:kern w:val="0"/>
          <w:sz w:val="24"/>
          <w:szCs w:val="24"/>
          <w:lang w:val="en-US" w:eastAsia="zh-TW"/>
        </w:rPr>
        <w:t>1.0</w:t>
      </w:r>
      <w:r>
        <w:rPr>
          <w:rFonts w:ascii="Times New Roman" w:hAnsi="Times New Roman" w:cs="Times New Roman" w:eastAsiaTheme="minorEastAsia"/>
          <w:color w:val="auto"/>
          <w:kern w:val="0"/>
          <w:sz w:val="24"/>
          <w:szCs w:val="24"/>
          <w:lang w:val="en-US" w:eastAsia="zh-TW"/>
        </w:rPr>
        <w:t>h</w:t>
      </w:r>
      <w:r>
        <w:rPr>
          <w:rFonts w:hint="eastAsia" w:ascii="Times New Roman" w:hAnsi="Times New Roman" w:cs="Times New Roman" w:eastAsiaTheme="minorEastAsia"/>
          <w:color w:val="auto"/>
          <w:kern w:val="0"/>
          <w:sz w:val="24"/>
          <w:szCs w:val="24"/>
          <w:lang w:val="en-US" w:eastAsia="zh-CN"/>
        </w:rPr>
        <w:t>、</w:t>
      </w:r>
      <w:r>
        <w:rPr>
          <w:rFonts w:ascii="Times New Roman" w:hAnsi="Times New Roman" w:cs="Times New Roman" w:eastAsiaTheme="minorEastAsia"/>
          <w:color w:val="auto"/>
          <w:kern w:val="0"/>
          <w:sz w:val="24"/>
          <w:szCs w:val="24"/>
          <w:lang w:val="en-US" w:eastAsia="zh-TW"/>
        </w:rPr>
        <w:t>24±</w:t>
      </w:r>
      <w:r>
        <w:rPr>
          <w:rFonts w:hint="eastAsia" w:ascii="Times New Roman" w:hAnsi="Times New Roman" w:cs="Times New Roman" w:eastAsiaTheme="minorEastAsia"/>
          <w:color w:val="auto"/>
          <w:kern w:val="0"/>
          <w:sz w:val="24"/>
          <w:szCs w:val="24"/>
          <w:lang w:val="en-US" w:eastAsia="zh-TW"/>
        </w:rPr>
        <w:t>1.0</w:t>
      </w:r>
      <w:r>
        <w:rPr>
          <w:rFonts w:ascii="Times New Roman" w:hAnsi="Times New Roman" w:cs="Times New Roman" w:eastAsiaTheme="minorEastAsia"/>
          <w:color w:val="auto"/>
          <w:kern w:val="0"/>
          <w:sz w:val="24"/>
          <w:szCs w:val="24"/>
          <w:lang w:val="en-US" w:eastAsia="zh-TW"/>
        </w:rPr>
        <w:t>h</w:t>
      </w:r>
      <w:r>
        <w:rPr>
          <w:rFonts w:hint="eastAsia" w:ascii="Times New Roman" w:hAnsi="Times New Roman" w:cs="Times New Roman" w:eastAsiaTheme="minorEastAsia"/>
          <w:color w:val="auto"/>
          <w:kern w:val="0"/>
          <w:sz w:val="24"/>
          <w:szCs w:val="24"/>
          <w:lang w:val="en-US" w:eastAsia="zh-TW"/>
        </w:rPr>
        <w:t>、36</w:t>
      </w:r>
      <w:r>
        <w:rPr>
          <w:rFonts w:ascii="Times New Roman" w:hAnsi="Times New Roman" w:cs="Times New Roman" w:eastAsiaTheme="minorEastAsia"/>
          <w:color w:val="auto"/>
          <w:kern w:val="0"/>
          <w:sz w:val="24"/>
          <w:szCs w:val="24"/>
          <w:lang w:val="en-US" w:eastAsia="zh-TW"/>
        </w:rPr>
        <w:t>±1.0h、48±</w:t>
      </w:r>
      <w:r>
        <w:rPr>
          <w:rFonts w:hint="eastAsia" w:ascii="Times New Roman" w:hAnsi="Times New Roman" w:cs="Times New Roman" w:eastAsiaTheme="minorEastAsia"/>
          <w:color w:val="auto"/>
          <w:kern w:val="0"/>
          <w:sz w:val="24"/>
          <w:szCs w:val="24"/>
          <w:lang w:val="en-US" w:eastAsia="zh-TW"/>
        </w:rPr>
        <w:t>1.0</w:t>
      </w:r>
      <w:r>
        <w:rPr>
          <w:rFonts w:ascii="Times New Roman" w:hAnsi="Times New Roman" w:cs="Times New Roman" w:eastAsiaTheme="minorEastAsia"/>
          <w:color w:val="auto"/>
          <w:kern w:val="0"/>
          <w:sz w:val="24"/>
          <w:szCs w:val="24"/>
          <w:lang w:val="en-US" w:eastAsia="zh-TW"/>
        </w:rPr>
        <w:t>h</w:t>
      </w:r>
      <w:r>
        <w:rPr>
          <w:rFonts w:ascii="Times New Roman" w:hAnsi="Times New Roman" w:cs="Times New Roman" w:eastAsiaTheme="minorEastAsia"/>
          <w:color w:val="auto"/>
          <w:kern w:val="0"/>
          <w:sz w:val="24"/>
          <w:szCs w:val="24"/>
          <w:lang w:val="en-US" w:eastAsia="zh-TW"/>
        </w:rPr>
        <w:fldChar w:fldCharType="end"/>
      </w:r>
      <w:r>
        <w:rPr>
          <w:rFonts w:ascii="Times New Roman" w:hAnsi="Times New Roman" w:cs="Times New Roman" w:eastAsiaTheme="minorEastAsia"/>
          <w:color w:val="auto"/>
          <w:kern w:val="0"/>
          <w:sz w:val="24"/>
          <w:szCs w:val="24"/>
          <w:lang w:val="zh-TW" w:eastAsia="zh-TW"/>
        </w:rPr>
        <w:t>监测受试者生命体征</w:t>
      </w:r>
      <w:r>
        <w:rPr>
          <w:rFonts w:hint="eastAsia" w:ascii="Times New Roman" w:hAnsi="Times New Roman" w:cs="Times New Roman" w:eastAsiaTheme="minorEastAsia"/>
          <w:color w:val="auto"/>
          <w:kern w:val="0"/>
          <w:sz w:val="24"/>
          <w:szCs w:val="24"/>
          <w:lang w:val="zh-TW" w:eastAsia="zh-TW"/>
        </w:rPr>
        <w:t>，</w:t>
      </w:r>
      <w:r>
        <w:rPr>
          <w:rFonts w:hint="eastAsia" w:ascii="Times New Roman" w:hAnsi="Times New Roman" w:cs="Times New Roman" w:eastAsiaTheme="minorEastAsia"/>
          <w:color w:val="auto"/>
          <w:kern w:val="0"/>
          <w:sz w:val="24"/>
          <w:szCs w:val="24"/>
          <w:lang w:val="en-US" w:eastAsia="zh-CN"/>
        </w:rPr>
        <w:t>筛选期及</w:t>
      </w:r>
      <w:r>
        <w:rPr>
          <w:rFonts w:ascii="Times New Roman" w:hAnsi="Times New Roman" w:cs="Times New Roman" w:eastAsiaTheme="minorEastAsia"/>
          <w:color w:val="auto"/>
          <w:kern w:val="0"/>
          <w:sz w:val="24"/>
          <w:szCs w:val="24"/>
          <w:lang w:val="zh-TW" w:eastAsia="zh-TW"/>
        </w:rPr>
        <w:t>第</w:t>
      </w:r>
      <w:r>
        <w:rPr>
          <w:rFonts w:hint="eastAsia" w:ascii="Times New Roman" w:hAnsi="Times New Roman" w:cs="Times New Roman" w:eastAsiaTheme="minorEastAsia"/>
          <w:color w:val="auto"/>
          <w:kern w:val="0"/>
          <w:sz w:val="24"/>
          <w:szCs w:val="24"/>
          <w:lang w:val="en-US" w:eastAsia="zh-TW"/>
        </w:rPr>
        <w:t>二</w:t>
      </w:r>
      <w:r>
        <w:rPr>
          <w:rFonts w:ascii="Times New Roman" w:hAnsi="Times New Roman" w:cs="Times New Roman" w:eastAsiaTheme="minorEastAsia"/>
          <w:color w:val="auto"/>
          <w:kern w:val="0"/>
          <w:sz w:val="24"/>
          <w:szCs w:val="24"/>
          <w:lang w:val="zh-TW" w:eastAsia="zh-TW"/>
        </w:rPr>
        <w:t>周期采样结束当天，对受试者进行体格检查、生命体征检查、12-导联心电图及实验室相关检查</w:t>
      </w:r>
      <w:r>
        <w:rPr>
          <w:rFonts w:hint="eastAsia" w:ascii="Times New Roman" w:hAnsi="Times New Roman" w:cs="Times New Roman" w:eastAsiaTheme="minorEastAsia"/>
          <w:color w:val="auto"/>
          <w:kern w:val="0"/>
          <w:sz w:val="24"/>
          <w:szCs w:val="24"/>
          <w:lang w:val="zh-TW" w:eastAsia="zh-CN"/>
        </w:rPr>
        <w:t>，</w:t>
      </w:r>
      <w:r>
        <w:rPr>
          <w:rFonts w:hint="eastAsia" w:ascii="Times New Roman" w:hAnsi="Times New Roman" w:cs="Times New Roman" w:eastAsiaTheme="minorEastAsia"/>
          <w:color w:val="auto"/>
          <w:kern w:val="0"/>
          <w:sz w:val="24"/>
          <w:szCs w:val="24"/>
          <w:lang w:val="en-US" w:eastAsia="zh-CN"/>
        </w:rPr>
        <w:t>服药后提前出组的受试者应在出组当天完成全部的安全性检查项目</w:t>
      </w:r>
      <w:r>
        <w:rPr>
          <w:rFonts w:hint="default" w:ascii="Times New Roman" w:hAnsi="Times New Roman" w:cs="Times New Roman" w:eastAsiaTheme="minorEastAsia"/>
          <w:color w:val="auto"/>
          <w:kern w:val="0"/>
          <w:sz w:val="24"/>
          <w:szCs w:val="24"/>
          <w:lang w:val="zh-TW" w:eastAsia="zh-CN"/>
        </w:rPr>
        <w:t>。</w:t>
      </w:r>
      <w:r>
        <w:rPr>
          <w:rFonts w:ascii="Times New Roman" w:hAnsi="Times New Roman" w:cs="Times New Roman" w:eastAsiaTheme="minorEastAsia"/>
          <w:color w:val="auto"/>
          <w:kern w:val="0"/>
          <w:sz w:val="24"/>
          <w:szCs w:val="24"/>
          <w:lang w:val="zh-TW" w:eastAsia="zh-TW"/>
        </w:rPr>
        <w:t>如果受试者在研究结束后仍然有未解决的不良事件/反应、具有临床意义的体检异常和/或实验室检查异常，应当安排相应的随访</w:t>
      </w:r>
      <w:r>
        <w:rPr>
          <w:rFonts w:hint="eastAsia" w:ascii="Times New Roman" w:hAnsi="Times New Roman" w:cs="Times New Roman" w:eastAsiaTheme="minorEastAsia"/>
          <w:color w:val="auto"/>
          <w:kern w:val="0"/>
          <w:sz w:val="24"/>
          <w:szCs w:val="24"/>
          <w:lang w:val="zh-TW" w:eastAsia="zh-TW"/>
        </w:rPr>
        <w:t>；</w:t>
      </w:r>
      <w:r>
        <w:rPr>
          <w:rFonts w:ascii="Times New Roman" w:hAnsi="Times New Roman" w:cs="Times New Roman" w:eastAsiaTheme="minorEastAsia"/>
          <w:color w:val="auto"/>
          <w:kern w:val="0"/>
          <w:sz w:val="24"/>
          <w:szCs w:val="24"/>
          <w:lang w:val="zh-TW" w:eastAsia="zh-TW"/>
        </w:rPr>
        <w:t>受试者出组后（包括提前出组）后一周内若发生后续的不良事件，</w:t>
      </w:r>
      <w:r>
        <w:rPr>
          <w:rFonts w:hint="eastAsia" w:ascii="Times New Roman" w:hAnsi="Times New Roman" w:cs="Times New Roman" w:eastAsiaTheme="minorEastAsia"/>
          <w:color w:val="auto"/>
          <w:kern w:val="0"/>
          <w:sz w:val="24"/>
          <w:szCs w:val="24"/>
          <w:lang w:val="zh-TW" w:eastAsia="zh-TW"/>
        </w:rPr>
        <w:t>应主动告知研究者</w:t>
      </w:r>
      <w:r>
        <w:rPr>
          <w:rFonts w:ascii="Times New Roman" w:hAnsi="Times New Roman" w:cs="Times New Roman" w:eastAsiaTheme="minorEastAsia"/>
          <w:color w:val="auto"/>
          <w:kern w:val="0"/>
          <w:sz w:val="24"/>
          <w:szCs w:val="24"/>
          <w:lang w:val="zh-TW" w:eastAsia="zh-TW"/>
        </w:rPr>
        <w:t>。</w:t>
      </w:r>
    </w:p>
    <w:p>
      <w:pPr>
        <w:pStyle w:val="69"/>
        <w:numPr>
          <w:ilvl w:val="0"/>
          <w:numId w:val="12"/>
        </w:numPr>
        <w:autoSpaceDE w:val="0"/>
        <w:autoSpaceDN w:val="0"/>
        <w:snapToGrid/>
        <w:contextualSpacing/>
        <w:rPr>
          <w:rFonts w:eastAsiaTheme="minorEastAsia"/>
        </w:rPr>
      </w:pPr>
      <w:bookmarkStart w:id="123" w:name="_Toc17743"/>
      <w:bookmarkStart w:id="124" w:name="_Toc521584558"/>
      <w:r>
        <w:rPr>
          <w:rFonts w:eastAsiaTheme="minorEastAsia"/>
        </w:rPr>
        <w:t>受试者例数及其确定依据</w:t>
      </w:r>
      <w:bookmarkEnd w:id="123"/>
      <w:bookmarkEnd w:id="124"/>
    </w:p>
    <w:p>
      <w:pPr>
        <w:pStyle w:val="50"/>
        <w:autoSpaceDE w:val="0"/>
        <w:autoSpaceDN w:val="0"/>
        <w:adjustRightInd w:val="0"/>
        <w:snapToGrid w:val="0"/>
        <w:ind w:left="0" w:firstLine="480" w:firstLineChars="200"/>
        <w:rPr>
          <w:rFonts w:eastAsia="宋体"/>
          <w:color w:val="auto"/>
          <w:lang w:val="zh-TW"/>
        </w:rPr>
      </w:pPr>
      <w:bookmarkStart w:id="125" w:name="_Toc521584559"/>
      <w:r>
        <w:rPr>
          <w:rFonts w:hint="eastAsia"/>
        </w:rPr>
        <w:t>根据药物临床试验信息登记与公示平台，本品空腹试验公示的样本量为38-62例不等，餐后试验样本量24-26例，推测本品空腹服用时药代动力学参数个体内变异约30%，餐后服用时药代动力学参数个体内变异约为20%，</w:t>
      </w:r>
      <w:r>
        <w:rPr>
          <w:rFonts w:eastAsia="宋体"/>
          <w:color w:val="auto"/>
          <w:lang w:val="zh-TW"/>
        </w:rPr>
        <w:t>利用PASS11.0软件，计算</w:t>
      </w:r>
      <w:r>
        <w:rPr>
          <w:rFonts w:hint="eastAsia" w:eastAsia="宋体"/>
          <w:color w:val="auto"/>
        </w:rPr>
        <w:t>受试者例数</w:t>
      </w:r>
      <w:r>
        <w:rPr>
          <w:rFonts w:eastAsia="宋体"/>
          <w:color w:val="auto"/>
          <w:lang w:val="zh-TW"/>
        </w:rPr>
        <w:t>：在一类错误0.05，</w:t>
      </w:r>
      <w:r>
        <w:rPr>
          <w:rFonts w:eastAsia="宋体"/>
          <w:color w:val="auto"/>
        </w:rPr>
        <w:t>8</w:t>
      </w:r>
      <w:r>
        <w:rPr>
          <w:rFonts w:eastAsia="宋体"/>
          <w:color w:val="auto"/>
          <w:lang w:val="zh-TW"/>
        </w:rPr>
        <w:t>0%把握度情况下，假设受试制剂与参比制剂等效，经计算</w:t>
      </w:r>
      <w:r>
        <w:rPr>
          <w:rFonts w:hint="eastAsia" w:eastAsia="宋体"/>
          <w:color w:val="auto"/>
        </w:rPr>
        <w:t>空腹试验</w:t>
      </w:r>
      <w:r>
        <w:rPr>
          <w:rFonts w:eastAsia="宋体"/>
          <w:color w:val="auto"/>
          <w:lang w:val="zh-TW"/>
        </w:rPr>
        <w:t>至少需要</w:t>
      </w:r>
      <w:r>
        <w:rPr>
          <w:rFonts w:hint="eastAsia" w:eastAsia="宋体"/>
          <w:color w:val="auto"/>
        </w:rPr>
        <w:t>39</w:t>
      </w:r>
      <w:r>
        <w:rPr>
          <w:rFonts w:eastAsia="宋体"/>
          <w:color w:val="auto"/>
          <w:lang w:val="zh-TW"/>
        </w:rPr>
        <w:t>例，</w:t>
      </w:r>
      <w:r>
        <w:rPr>
          <w:rFonts w:hint="eastAsia" w:eastAsia="宋体"/>
          <w:color w:val="auto"/>
        </w:rPr>
        <w:t>餐后试验至少需要18例，考虑20%脱落率</w:t>
      </w:r>
      <w:r>
        <w:rPr>
          <w:rFonts w:eastAsia="宋体"/>
          <w:color w:val="auto"/>
          <w:lang w:val="zh-TW"/>
        </w:rPr>
        <w:t>，</w:t>
      </w:r>
      <w:r>
        <w:rPr>
          <w:rFonts w:hint="eastAsia" w:eastAsia="宋体"/>
          <w:color w:val="auto"/>
        </w:rPr>
        <w:t>建议空腹试验样本量为48例，餐后试验样本量24例</w:t>
      </w:r>
      <w:r>
        <w:rPr>
          <w:rFonts w:eastAsia="宋体"/>
          <w:color w:val="auto"/>
          <w:lang w:val="zh-TW"/>
        </w:rPr>
        <w:t>。</w:t>
      </w:r>
    </w:p>
    <w:p>
      <w:pPr>
        <w:pStyle w:val="69"/>
        <w:numPr>
          <w:ilvl w:val="0"/>
          <w:numId w:val="12"/>
        </w:numPr>
        <w:autoSpaceDE w:val="0"/>
        <w:autoSpaceDN w:val="0"/>
        <w:snapToGrid/>
        <w:contextualSpacing/>
        <w:rPr>
          <w:rFonts w:eastAsiaTheme="minorEastAsia"/>
        </w:rPr>
      </w:pPr>
      <w:bookmarkStart w:id="126" w:name="_Toc3994"/>
      <w:r>
        <w:rPr>
          <w:rFonts w:eastAsiaTheme="minorEastAsia"/>
        </w:rPr>
        <w:t>试验流程图</w:t>
      </w:r>
      <w:bookmarkEnd w:id="125"/>
      <w:bookmarkEnd w:id="126"/>
    </w:p>
    <w:tbl>
      <w:tblPr>
        <w:tblStyle w:val="27"/>
        <w:tblW w:w="985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1179"/>
        <w:gridCol w:w="670"/>
        <w:gridCol w:w="620"/>
        <w:gridCol w:w="640"/>
        <w:gridCol w:w="630"/>
        <w:gridCol w:w="680"/>
        <w:gridCol w:w="610"/>
        <w:gridCol w:w="630"/>
        <w:gridCol w:w="654"/>
        <w:gridCol w:w="11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blHeader/>
          <w:jc w:val="center"/>
        </w:trPr>
        <w:tc>
          <w:tcPr>
            <w:tcW w:w="2380"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b/>
                <w:bCs/>
                <w:sz w:val="21"/>
                <w:szCs w:val="21"/>
              </w:rPr>
            </w:pPr>
            <w:r>
              <w:rPr>
                <w:b/>
                <w:bCs/>
                <w:sz w:val="21"/>
                <w:szCs w:val="21"/>
              </w:rPr>
              <w:t>研究进程</w:t>
            </w:r>
          </w:p>
        </w:tc>
        <w:tc>
          <w:tcPr>
            <w:tcW w:w="1179"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b/>
                <w:sz w:val="21"/>
                <w:szCs w:val="21"/>
              </w:rPr>
            </w:pPr>
            <w:r>
              <w:rPr>
                <w:b/>
                <w:sz w:val="21"/>
                <w:szCs w:val="21"/>
              </w:rPr>
              <w:t>筛选期</w:t>
            </w:r>
          </w:p>
        </w:tc>
        <w:tc>
          <w:tcPr>
            <w:tcW w:w="2560" w:type="dxa"/>
            <w:gridSpan w:val="4"/>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b/>
                <w:sz w:val="21"/>
                <w:szCs w:val="21"/>
              </w:rPr>
            </w:pPr>
            <w:r>
              <w:rPr>
                <w:b/>
                <w:sz w:val="21"/>
                <w:szCs w:val="21"/>
              </w:rPr>
              <w:t>第一周期</w:t>
            </w:r>
          </w:p>
        </w:tc>
        <w:tc>
          <w:tcPr>
            <w:tcW w:w="2574" w:type="dxa"/>
            <w:gridSpan w:val="4"/>
            <w:tcBorders>
              <w:top w:val="single" w:color="auto" w:sz="12" w:space="0"/>
              <w:left w:val="single" w:color="auto" w:sz="12" w:space="0"/>
              <w:right w:val="single" w:color="auto" w:sz="12" w:space="0"/>
            </w:tcBorders>
            <w:vAlign w:val="center"/>
          </w:tcPr>
          <w:p>
            <w:pPr>
              <w:autoSpaceDE w:val="0"/>
              <w:autoSpaceDN w:val="0"/>
              <w:adjustRightInd w:val="0"/>
              <w:snapToGrid w:val="0"/>
              <w:ind w:left="600" w:leftChars="-50" w:right="-120" w:rightChars="-50"/>
              <w:jc w:val="center"/>
              <w:rPr>
                <w:b/>
                <w:sz w:val="21"/>
                <w:szCs w:val="21"/>
              </w:rPr>
            </w:pPr>
            <w:r>
              <w:rPr>
                <w:b/>
                <w:sz w:val="21"/>
                <w:szCs w:val="21"/>
              </w:rPr>
              <w:t>第二周期</w:t>
            </w:r>
          </w:p>
        </w:tc>
        <w:tc>
          <w:tcPr>
            <w:tcW w:w="1161" w:type="dxa"/>
            <w:tcBorders>
              <w:top w:val="single" w:color="auto" w:sz="12" w:space="0"/>
              <w:left w:val="single" w:color="auto" w:sz="12" w:space="0"/>
              <w:right w:val="single" w:color="auto" w:sz="12" w:space="0"/>
            </w:tcBorders>
            <w:vAlign w:val="center"/>
          </w:tcPr>
          <w:p>
            <w:pPr>
              <w:autoSpaceDE w:val="0"/>
              <w:autoSpaceDN w:val="0"/>
              <w:adjustRightInd w:val="0"/>
              <w:snapToGrid w:val="0"/>
              <w:ind w:left="600" w:leftChars="-50" w:right="-120" w:rightChars="-50"/>
              <w:jc w:val="center"/>
              <w:rPr>
                <w:rFonts w:hint="eastAsia" w:eastAsia="宋体"/>
                <w:b/>
                <w:sz w:val="21"/>
                <w:szCs w:val="21"/>
                <w:lang w:eastAsia="zh-CN"/>
              </w:rPr>
            </w:pPr>
            <w:r>
              <w:rPr>
                <w:rFonts w:hint="eastAsia"/>
                <w:b/>
                <w:sz w:val="21"/>
                <w:szCs w:val="21"/>
                <w:lang w:val="en-US" w:eastAsia="zh-CN"/>
              </w:rPr>
              <w:t>随访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blHeader/>
          <w:jc w:val="center"/>
        </w:trPr>
        <w:tc>
          <w:tcPr>
            <w:tcW w:w="2380" w:type="dxa"/>
            <w:tcBorders>
              <w:top w:val="single" w:color="auto" w:sz="4" w:space="0"/>
              <w:bottom w:val="single" w:color="auto" w:sz="12" w:space="0"/>
              <w:right w:val="single" w:color="auto" w:sz="12" w:space="0"/>
            </w:tcBorders>
            <w:vAlign w:val="center"/>
          </w:tcPr>
          <w:p>
            <w:pPr>
              <w:autoSpaceDE w:val="0"/>
              <w:autoSpaceDN w:val="0"/>
              <w:adjustRightInd w:val="0"/>
              <w:snapToGrid w:val="0"/>
              <w:jc w:val="center"/>
              <w:rPr>
                <w:b/>
                <w:bCs/>
                <w:sz w:val="21"/>
                <w:szCs w:val="21"/>
              </w:rPr>
            </w:pPr>
            <w:r>
              <w:rPr>
                <w:b/>
                <w:bCs/>
                <w:sz w:val="21"/>
                <w:szCs w:val="21"/>
              </w:rPr>
              <w:t>研究天数</w:t>
            </w:r>
          </w:p>
        </w:tc>
        <w:tc>
          <w:tcPr>
            <w:tcW w:w="1179" w:type="dxa"/>
            <w:tcBorders>
              <w:top w:val="single" w:color="auto" w:sz="4" w:space="0"/>
              <w:bottom w:val="single" w:color="auto" w:sz="12" w:space="0"/>
              <w:right w:val="single" w:color="auto" w:sz="12" w:space="0"/>
            </w:tcBorders>
            <w:vAlign w:val="center"/>
          </w:tcPr>
          <w:p>
            <w:pPr>
              <w:autoSpaceDE w:val="0"/>
              <w:autoSpaceDN w:val="0"/>
              <w:adjustRightInd w:val="0"/>
              <w:snapToGrid w:val="0"/>
              <w:jc w:val="center"/>
              <w:rPr>
                <w:b/>
                <w:bCs/>
                <w:sz w:val="21"/>
                <w:szCs w:val="21"/>
                <w:lang w:eastAsia="zh-TW"/>
              </w:rPr>
            </w:pPr>
            <w:r>
              <w:rPr>
                <w:rFonts w:hint="eastAsia"/>
                <w:b/>
                <w:bCs/>
                <w:sz w:val="21"/>
                <w:szCs w:val="21"/>
                <w:lang w:eastAsia="zh-CN"/>
              </w:rPr>
              <w:t>D</w:t>
            </w:r>
            <w:r>
              <w:rPr>
                <w:b/>
                <w:bCs/>
                <w:sz w:val="21"/>
                <w:szCs w:val="21"/>
              </w:rPr>
              <w:t>-14~ -1</w:t>
            </w:r>
          </w:p>
        </w:tc>
        <w:tc>
          <w:tcPr>
            <w:tcW w:w="67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b/>
                <w:bCs/>
                <w:sz w:val="21"/>
                <w:szCs w:val="21"/>
              </w:rPr>
            </w:pPr>
            <w:r>
              <w:rPr>
                <w:rFonts w:hint="eastAsia"/>
                <w:b/>
                <w:bCs/>
                <w:sz w:val="21"/>
                <w:szCs w:val="21"/>
                <w:lang w:eastAsia="zh-CN"/>
              </w:rPr>
              <w:t>D</w:t>
            </w:r>
            <w:r>
              <w:rPr>
                <w:b/>
                <w:bCs/>
                <w:sz w:val="21"/>
                <w:szCs w:val="21"/>
              </w:rPr>
              <w:t>-1</w:t>
            </w:r>
          </w:p>
        </w:tc>
        <w:tc>
          <w:tcPr>
            <w:tcW w:w="62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lang w:eastAsia="zh-TW"/>
              </w:rPr>
            </w:pPr>
            <w:r>
              <w:rPr>
                <w:rFonts w:hint="eastAsia"/>
                <w:b/>
                <w:bCs/>
                <w:sz w:val="21"/>
                <w:szCs w:val="21"/>
                <w:lang w:eastAsia="zh-CN"/>
              </w:rPr>
              <w:t>D</w:t>
            </w:r>
            <w:r>
              <w:rPr>
                <w:b/>
                <w:bCs/>
                <w:sz w:val="21"/>
                <w:szCs w:val="21"/>
              </w:rPr>
              <w:t>1</w:t>
            </w:r>
          </w:p>
        </w:tc>
        <w:tc>
          <w:tcPr>
            <w:tcW w:w="64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lang w:eastAsia="zh-CN"/>
              </w:rPr>
            </w:pPr>
            <w:r>
              <w:rPr>
                <w:rFonts w:hint="eastAsia"/>
                <w:b/>
                <w:bCs/>
                <w:sz w:val="21"/>
                <w:szCs w:val="21"/>
                <w:lang w:eastAsia="zh-CN"/>
              </w:rPr>
              <w:t>D2</w:t>
            </w: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lang w:eastAsia="zh-CN"/>
              </w:rPr>
            </w:pPr>
            <w:r>
              <w:rPr>
                <w:rFonts w:hint="eastAsia"/>
                <w:b/>
                <w:bCs/>
                <w:sz w:val="21"/>
                <w:szCs w:val="21"/>
                <w:lang w:eastAsia="zh-CN"/>
              </w:rPr>
              <w:t>D3</w:t>
            </w:r>
          </w:p>
        </w:tc>
        <w:tc>
          <w:tcPr>
            <w:tcW w:w="68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b/>
                <w:bCs/>
                <w:sz w:val="21"/>
                <w:szCs w:val="21"/>
              </w:rPr>
            </w:pPr>
            <w:r>
              <w:rPr>
                <w:rFonts w:hint="eastAsia"/>
                <w:b/>
                <w:bCs/>
                <w:sz w:val="21"/>
                <w:szCs w:val="21"/>
                <w:lang w:eastAsia="zh-CN"/>
              </w:rPr>
              <w:t>D</w:t>
            </w:r>
            <w:r>
              <w:rPr>
                <w:b/>
                <w:bCs/>
                <w:sz w:val="21"/>
                <w:szCs w:val="21"/>
              </w:rPr>
              <w:t>7</w:t>
            </w:r>
          </w:p>
        </w:tc>
        <w:tc>
          <w:tcPr>
            <w:tcW w:w="61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rPr>
            </w:pPr>
            <w:r>
              <w:rPr>
                <w:rFonts w:hint="eastAsia"/>
                <w:b/>
                <w:bCs/>
                <w:sz w:val="21"/>
                <w:szCs w:val="21"/>
                <w:lang w:eastAsia="zh-CN"/>
              </w:rPr>
              <w:t>D</w:t>
            </w:r>
            <w:r>
              <w:rPr>
                <w:b/>
                <w:bCs/>
                <w:sz w:val="21"/>
                <w:szCs w:val="21"/>
              </w:rPr>
              <w:t>8</w:t>
            </w: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lang w:eastAsia="zh-CN"/>
              </w:rPr>
            </w:pPr>
            <w:r>
              <w:rPr>
                <w:rFonts w:hint="eastAsia"/>
                <w:b/>
                <w:bCs/>
                <w:sz w:val="21"/>
                <w:szCs w:val="21"/>
                <w:lang w:eastAsia="zh-CN"/>
              </w:rPr>
              <w:t>D9</w:t>
            </w:r>
          </w:p>
        </w:tc>
        <w:tc>
          <w:tcPr>
            <w:tcW w:w="654"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b/>
                <w:bCs/>
                <w:sz w:val="21"/>
                <w:szCs w:val="21"/>
                <w:lang w:eastAsia="zh-CN"/>
              </w:rPr>
            </w:pPr>
            <w:r>
              <w:rPr>
                <w:rFonts w:hint="eastAsia"/>
                <w:b/>
                <w:bCs/>
                <w:sz w:val="21"/>
                <w:szCs w:val="21"/>
                <w:lang w:eastAsia="zh-CN"/>
              </w:rPr>
              <w:t>D10</w:t>
            </w:r>
          </w:p>
        </w:tc>
        <w:tc>
          <w:tcPr>
            <w:tcW w:w="1161" w:type="dxa"/>
            <w:tcBorders>
              <w:left w:val="single" w:color="auto" w:sz="12" w:space="0"/>
              <w:bottom w:val="single" w:color="auto" w:sz="12" w:space="0"/>
            </w:tcBorders>
            <w:vAlign w:val="center"/>
          </w:tcPr>
          <w:p>
            <w:pPr>
              <w:autoSpaceDE w:val="0"/>
              <w:autoSpaceDN w:val="0"/>
              <w:adjustRightInd w:val="0"/>
              <w:snapToGrid w:val="0"/>
              <w:jc w:val="center"/>
              <w:rPr>
                <w:b/>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12" w:space="0"/>
              <w:bottom w:val="single" w:color="auto" w:sz="4" w:space="0"/>
              <w:right w:val="single" w:color="auto" w:sz="12" w:space="0"/>
            </w:tcBorders>
            <w:vAlign w:val="center"/>
          </w:tcPr>
          <w:p>
            <w:pPr>
              <w:autoSpaceDE w:val="0"/>
              <w:autoSpaceDN w:val="0"/>
              <w:adjustRightInd w:val="0"/>
              <w:snapToGrid w:val="0"/>
              <w:rPr>
                <w:sz w:val="21"/>
                <w:szCs w:val="21"/>
                <w:lang w:eastAsia="zh-TW"/>
              </w:rPr>
            </w:pPr>
            <w:r>
              <w:rPr>
                <w:sz w:val="21"/>
                <w:szCs w:val="21"/>
              </w:rPr>
              <w:t>知情同意书</w:t>
            </w:r>
          </w:p>
        </w:tc>
        <w:tc>
          <w:tcPr>
            <w:tcW w:w="1179" w:type="dxa"/>
            <w:tcBorders>
              <w:top w:val="single" w:color="auto" w:sz="12" w:space="0"/>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12"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right w:val="single" w:color="auto" w:sz="12" w:space="0"/>
            </w:tcBorders>
            <w:vAlign w:val="center"/>
          </w:tcPr>
          <w:p>
            <w:pPr>
              <w:autoSpaceDE w:val="0"/>
              <w:autoSpaceDN w:val="0"/>
              <w:adjustRightInd w:val="0"/>
              <w:snapToGrid w:val="0"/>
              <w:rPr>
                <w:sz w:val="21"/>
                <w:szCs w:val="21"/>
                <w:lang w:eastAsia="zh-TW"/>
              </w:rPr>
            </w:pPr>
            <w:r>
              <w:rPr>
                <w:sz w:val="21"/>
                <w:szCs w:val="21"/>
              </w:rPr>
              <w:t>入/排标准</w:t>
            </w:r>
          </w:p>
        </w:tc>
        <w:tc>
          <w:tcPr>
            <w:tcW w:w="1179" w:type="dxa"/>
            <w:tcBorders>
              <w:top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2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人口统计学</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BMI</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lang w:eastAsia="zh-TW"/>
              </w:rPr>
            </w:pPr>
            <w:r>
              <w:rPr>
                <w:sz w:val="21"/>
                <w:szCs w:val="21"/>
              </w:rPr>
              <w:t>病史、过敏史</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380" w:type="dxa"/>
            <w:tcBorders>
              <w:right w:val="single" w:color="auto" w:sz="12" w:space="0"/>
            </w:tcBorders>
            <w:vAlign w:val="center"/>
          </w:tcPr>
          <w:p>
            <w:pPr>
              <w:autoSpaceDE w:val="0"/>
              <w:autoSpaceDN w:val="0"/>
              <w:adjustRightInd w:val="0"/>
              <w:snapToGrid w:val="0"/>
              <w:rPr>
                <w:sz w:val="21"/>
                <w:szCs w:val="21"/>
                <w:lang w:eastAsia="zh-TW"/>
              </w:rPr>
            </w:pPr>
            <w:r>
              <w:rPr>
                <w:sz w:val="21"/>
                <w:szCs w:val="21"/>
              </w:rPr>
              <w:t>用药史</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体格检查</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lang w:eastAsia="zh-TW"/>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bottom w:val="single" w:color="auto" w:sz="4" w:space="0"/>
              <w:right w:val="single" w:color="auto" w:sz="12" w:space="0"/>
            </w:tcBorders>
            <w:vAlign w:val="center"/>
          </w:tcPr>
          <w:p>
            <w:pPr>
              <w:autoSpaceDE w:val="0"/>
              <w:autoSpaceDN w:val="0"/>
              <w:adjustRightInd w:val="0"/>
              <w:snapToGrid w:val="0"/>
              <w:rPr>
                <w:sz w:val="21"/>
                <w:szCs w:val="21"/>
              </w:rPr>
            </w:pPr>
            <w:r>
              <w:rPr>
                <w:sz w:val="21"/>
                <w:szCs w:val="21"/>
              </w:rPr>
              <w:t>生命体征</w:t>
            </w:r>
            <w:r>
              <w:rPr>
                <w:sz w:val="21"/>
                <w:szCs w:val="21"/>
                <w:vertAlign w:val="superscript"/>
              </w:rPr>
              <w:t>1</w:t>
            </w:r>
          </w:p>
        </w:tc>
        <w:tc>
          <w:tcPr>
            <w:tcW w:w="1179" w:type="dxa"/>
            <w:tcBorders>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4"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sz w:val="21"/>
                <w:szCs w:val="21"/>
              </w:rPr>
            </w:pPr>
            <w:r>
              <w:rPr>
                <w:sz w:val="21"/>
                <w:szCs w:val="21"/>
              </w:rPr>
              <w:t>血常规检查</w:t>
            </w:r>
            <w:r>
              <w:rPr>
                <w:sz w:val="21"/>
                <w:szCs w:val="21"/>
                <w:vertAlign w:val="superscript"/>
              </w:rPr>
              <w:t>2</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sz w:val="21"/>
                <w:szCs w:val="21"/>
              </w:rPr>
            </w:pPr>
            <w:r>
              <w:rPr>
                <w:sz w:val="21"/>
                <w:szCs w:val="21"/>
              </w:rPr>
              <w:t>尿常规检查</w:t>
            </w:r>
            <w:r>
              <w:rPr>
                <w:sz w:val="21"/>
                <w:szCs w:val="21"/>
                <w:vertAlign w:val="superscript"/>
              </w:rPr>
              <w:t>3</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sz w:val="21"/>
                <w:szCs w:val="21"/>
              </w:rPr>
            </w:pPr>
            <w:r>
              <w:rPr>
                <w:sz w:val="21"/>
                <w:szCs w:val="21"/>
              </w:rPr>
              <w:t>血生化检查</w:t>
            </w:r>
            <w:r>
              <w:rPr>
                <w:sz w:val="21"/>
                <w:szCs w:val="21"/>
                <w:vertAlign w:val="superscript"/>
              </w:rPr>
              <w:t>4</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rFonts w:hint="eastAsia" w:eastAsia="宋体"/>
                <w:sz w:val="21"/>
                <w:szCs w:val="21"/>
                <w:vertAlign w:val="superscript"/>
                <w:lang w:val="en-US" w:eastAsia="zh-CN"/>
              </w:rPr>
            </w:pPr>
            <w:r>
              <w:rPr>
                <w:rFonts w:hint="eastAsia"/>
                <w:sz w:val="21"/>
                <w:szCs w:val="21"/>
                <w:lang w:val="en-US" w:eastAsia="zh-CN"/>
              </w:rPr>
              <w:t>凝血功能</w:t>
            </w:r>
            <w:r>
              <w:rPr>
                <w:rFonts w:hint="eastAsia"/>
                <w:sz w:val="21"/>
                <w:szCs w:val="21"/>
                <w:vertAlign w:val="superscript"/>
                <w:lang w:val="en-US" w:eastAsia="zh-CN"/>
              </w:rPr>
              <w:t>5</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rFonts w:hint="eastAsia" w:eastAsia="宋体"/>
                <w:sz w:val="21"/>
                <w:szCs w:val="21"/>
                <w:lang w:val="en-US" w:eastAsia="zh-CN"/>
              </w:rPr>
            </w:pPr>
            <w:r>
              <w:rPr>
                <w:rFonts w:hint="eastAsia"/>
                <w:sz w:val="21"/>
                <w:szCs w:val="21"/>
                <w:lang w:val="en-US" w:eastAsia="zh-CN"/>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hint="eastAsia" w:eastAsia="宋体"/>
                <w:sz w:val="21"/>
                <w:szCs w:val="21"/>
                <w:lang w:val="en-US" w:eastAsia="zh-CN"/>
              </w:rPr>
            </w:pPr>
            <w:r>
              <w:rPr>
                <w:rFonts w:hint="eastAsia"/>
                <w:sz w:val="21"/>
                <w:szCs w:val="21"/>
                <w:lang w:val="en-US" w:eastAsia="zh-CN"/>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bottom w:val="single" w:color="auto" w:sz="4" w:space="0"/>
              <w:right w:val="single" w:color="auto" w:sz="12" w:space="0"/>
            </w:tcBorders>
            <w:vAlign w:val="center"/>
          </w:tcPr>
          <w:p>
            <w:pPr>
              <w:autoSpaceDE w:val="0"/>
              <w:autoSpaceDN w:val="0"/>
              <w:adjustRightInd w:val="0"/>
              <w:snapToGrid w:val="0"/>
              <w:rPr>
                <w:rFonts w:hint="eastAsia" w:eastAsia="宋体"/>
                <w:sz w:val="21"/>
                <w:szCs w:val="21"/>
                <w:lang w:eastAsia="zh-CN"/>
              </w:rPr>
            </w:pPr>
            <w:r>
              <w:rPr>
                <w:sz w:val="21"/>
                <w:szCs w:val="21"/>
              </w:rPr>
              <w:t>输血四项</w:t>
            </w:r>
            <w:r>
              <w:rPr>
                <w:rFonts w:hint="eastAsia"/>
                <w:sz w:val="21"/>
                <w:szCs w:val="21"/>
                <w:vertAlign w:val="superscript"/>
                <w:lang w:val="en-US" w:eastAsia="zh-CN"/>
              </w:rPr>
              <w:t>6</w:t>
            </w:r>
          </w:p>
        </w:tc>
        <w:tc>
          <w:tcPr>
            <w:tcW w:w="1179" w:type="dxa"/>
            <w:tcBorders>
              <w:top w:val="single" w:color="auto" w:sz="4" w:space="0"/>
              <w:bottom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top w:val="single" w:color="auto" w:sz="4" w:space="0"/>
              <w:right w:val="single" w:color="auto" w:sz="12" w:space="0"/>
            </w:tcBorders>
            <w:vAlign w:val="center"/>
          </w:tcPr>
          <w:p>
            <w:pPr>
              <w:autoSpaceDE w:val="0"/>
              <w:autoSpaceDN w:val="0"/>
              <w:adjustRightInd w:val="0"/>
              <w:snapToGrid w:val="0"/>
              <w:ind w:right="-264" w:rightChars="-110"/>
              <w:rPr>
                <w:rFonts w:hint="eastAsia" w:eastAsia="宋体"/>
                <w:sz w:val="21"/>
                <w:szCs w:val="21"/>
                <w:lang w:eastAsia="zh-CN"/>
              </w:rPr>
            </w:pPr>
            <w:r>
              <w:rPr>
                <w:sz w:val="21"/>
                <w:szCs w:val="21"/>
              </w:rPr>
              <w:t>血妊娠检查</w:t>
            </w:r>
            <w:r>
              <w:rPr>
                <w:rFonts w:hint="eastAsia"/>
                <w:sz w:val="21"/>
                <w:szCs w:val="21"/>
                <w:vertAlign w:val="superscript"/>
                <w:lang w:val="en-US" w:eastAsia="zh-CN"/>
              </w:rPr>
              <w:t>7</w:t>
            </w:r>
          </w:p>
        </w:tc>
        <w:tc>
          <w:tcPr>
            <w:tcW w:w="1179" w:type="dxa"/>
            <w:tcBorders>
              <w:top w:val="single" w:color="auto" w:sz="4" w:space="0"/>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top w:val="single" w:color="auto" w:sz="4" w:space="0"/>
              <w:left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2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lang w:eastAsia="zh-CN"/>
              </w:rPr>
            </w:pPr>
            <w:r>
              <w:rPr>
                <w:rFonts w:hint="eastAsia"/>
                <w:sz w:val="21"/>
                <w:szCs w:val="21"/>
                <w:lang w:eastAsia="zh-CN"/>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12-导联心电图</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lang w:eastAsia="zh-TW"/>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rFonts w:hint="eastAsia" w:eastAsia="宋体"/>
                <w:sz w:val="21"/>
                <w:szCs w:val="21"/>
                <w:lang w:val="en-US" w:eastAsia="zh-CN"/>
              </w:rPr>
            </w:pPr>
            <w:r>
              <w:rPr>
                <w:sz w:val="21"/>
                <w:szCs w:val="21"/>
              </w:rPr>
              <w:t>酒精</w:t>
            </w:r>
            <w:r>
              <w:rPr>
                <w:rFonts w:hint="eastAsia"/>
                <w:sz w:val="21"/>
                <w:szCs w:val="21"/>
                <w:lang w:val="en-US" w:eastAsia="zh-CN"/>
              </w:rPr>
              <w:t>呼气检测</w:t>
            </w:r>
          </w:p>
        </w:tc>
        <w:tc>
          <w:tcPr>
            <w:tcW w:w="1179" w:type="dxa"/>
            <w:tcBorders>
              <w:right w:val="single" w:color="auto" w:sz="12" w:space="0"/>
            </w:tcBorders>
            <w:vAlign w:val="center"/>
          </w:tcPr>
          <w:p>
            <w:pPr>
              <w:autoSpaceDE w:val="0"/>
              <w:autoSpaceDN w:val="0"/>
              <w:adjustRightInd w:val="0"/>
              <w:snapToGrid w:val="0"/>
              <w:jc w:val="center"/>
              <w:rPr>
                <w:sz w:val="21"/>
                <w:szCs w:val="21"/>
                <w:lang w:eastAsia="zh-CN"/>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rFonts w:hint="eastAsia" w:eastAsia="宋体"/>
                <w:sz w:val="21"/>
                <w:szCs w:val="21"/>
                <w:lang w:eastAsia="zh-CN"/>
              </w:rPr>
            </w:pPr>
            <w:r>
              <w:rPr>
                <w:sz w:val="21"/>
                <w:szCs w:val="21"/>
              </w:rPr>
              <w:t>药物滥用筛查</w:t>
            </w:r>
            <w:r>
              <w:rPr>
                <w:rFonts w:hint="eastAsia"/>
                <w:sz w:val="21"/>
                <w:szCs w:val="21"/>
                <w:vertAlign w:val="superscript"/>
                <w:lang w:val="en-US" w:eastAsia="zh-CN"/>
              </w:rPr>
              <w:t>8</w:t>
            </w:r>
          </w:p>
        </w:tc>
        <w:tc>
          <w:tcPr>
            <w:tcW w:w="1179" w:type="dxa"/>
            <w:tcBorders>
              <w:right w:val="single" w:color="auto" w:sz="12" w:space="0"/>
            </w:tcBorders>
            <w:vAlign w:val="center"/>
          </w:tcPr>
          <w:p>
            <w:pPr>
              <w:autoSpaceDE w:val="0"/>
              <w:autoSpaceDN w:val="0"/>
              <w:adjustRightInd w:val="0"/>
              <w:snapToGrid w:val="0"/>
              <w:jc w:val="center"/>
              <w:rPr>
                <w:sz w:val="21"/>
                <w:szCs w:val="21"/>
              </w:rPr>
            </w:pPr>
            <w:bookmarkStart w:id="476" w:name="_GoBack"/>
            <w:bookmarkEnd w:id="476"/>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vertAlign w:val="superscript"/>
              </w:rPr>
            </w:pPr>
            <w:r>
              <w:rPr>
                <w:sz w:val="21"/>
                <w:szCs w:val="21"/>
              </w:rPr>
              <w:t>口服研究药物</w:t>
            </w:r>
          </w:p>
        </w:tc>
        <w:tc>
          <w:tcPr>
            <w:tcW w:w="1179" w:type="dxa"/>
            <w:tcBorders>
              <w:right w:val="single" w:color="auto" w:sz="12" w:space="0"/>
            </w:tcBorders>
            <w:vAlign w:val="center"/>
          </w:tcPr>
          <w:p>
            <w:pPr>
              <w:autoSpaceDE w:val="0"/>
              <w:autoSpaceDN w:val="0"/>
              <w:adjustRightInd w:val="0"/>
              <w:snapToGrid w:val="0"/>
              <w:jc w:val="center"/>
              <w:rPr>
                <w:sz w:val="21"/>
                <w:szCs w:val="21"/>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4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30" w:type="dxa"/>
            <w:tcBorders>
              <w:left w:val="single" w:color="auto" w:sz="4" w:space="0"/>
              <w:right w:val="single" w:color="auto" w:sz="4" w:space="0"/>
            </w:tcBorders>
            <w:vAlign w:val="center"/>
          </w:tcPr>
          <w:p>
            <w:pPr>
              <w:autoSpaceDE w:val="0"/>
              <w:autoSpaceDN w:val="0"/>
              <w:adjustRightInd w:val="0"/>
              <w:snapToGrid w:val="0"/>
              <w:jc w:val="center"/>
              <w:rPr>
                <w:sz w:val="21"/>
                <w:szCs w:val="21"/>
              </w:rPr>
            </w:pP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lang w:eastAsia="zh-TW"/>
              </w:rPr>
            </w:pPr>
            <w:r>
              <w:rPr>
                <w:sz w:val="21"/>
                <w:szCs w:val="21"/>
              </w:rPr>
              <w:t>PK血样采集</w:t>
            </w:r>
          </w:p>
        </w:tc>
        <w:tc>
          <w:tcPr>
            <w:tcW w:w="1179" w:type="dxa"/>
            <w:tcBorders>
              <w:right w:val="single" w:color="auto" w:sz="12" w:space="0"/>
            </w:tcBorders>
            <w:vAlign w:val="center"/>
          </w:tcPr>
          <w:p>
            <w:pPr>
              <w:autoSpaceDE w:val="0"/>
              <w:autoSpaceDN w:val="0"/>
              <w:adjustRightInd w:val="0"/>
              <w:snapToGrid w:val="0"/>
              <w:jc w:val="center"/>
              <w:rPr>
                <w:sz w:val="21"/>
                <w:szCs w:val="21"/>
              </w:rPr>
            </w:pP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合并用药</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r>
              <w:rPr>
                <w:sz w:val="21"/>
                <w:szCs w:val="21"/>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right w:val="single" w:color="auto" w:sz="12" w:space="0"/>
            </w:tcBorders>
            <w:vAlign w:val="center"/>
          </w:tcPr>
          <w:p>
            <w:pPr>
              <w:autoSpaceDE w:val="0"/>
              <w:autoSpaceDN w:val="0"/>
              <w:adjustRightInd w:val="0"/>
              <w:snapToGrid w:val="0"/>
              <w:rPr>
                <w:sz w:val="21"/>
                <w:szCs w:val="21"/>
              </w:rPr>
            </w:pPr>
            <w:r>
              <w:rPr>
                <w:sz w:val="21"/>
                <w:szCs w:val="21"/>
              </w:rPr>
              <w:t>不良事件</w:t>
            </w:r>
          </w:p>
        </w:tc>
        <w:tc>
          <w:tcPr>
            <w:tcW w:w="1179" w:type="dxa"/>
            <w:tcBorders>
              <w:right w:val="single" w:color="auto" w:sz="12" w:space="0"/>
            </w:tcBorders>
            <w:vAlign w:val="center"/>
          </w:tcPr>
          <w:p>
            <w:pPr>
              <w:autoSpaceDE w:val="0"/>
              <w:autoSpaceDN w:val="0"/>
              <w:adjustRightInd w:val="0"/>
              <w:snapToGrid w:val="0"/>
              <w:jc w:val="center"/>
              <w:rPr>
                <w:sz w:val="21"/>
                <w:szCs w:val="21"/>
              </w:rPr>
            </w:pPr>
            <w:r>
              <w:rPr>
                <w:sz w:val="21"/>
                <w:szCs w:val="21"/>
              </w:rPr>
              <w:t>X</w:t>
            </w:r>
          </w:p>
        </w:tc>
        <w:tc>
          <w:tcPr>
            <w:tcW w:w="670" w:type="dxa"/>
            <w:tcBorders>
              <w:left w:val="single" w:color="auto" w:sz="12"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2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4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X</w:t>
            </w:r>
          </w:p>
        </w:tc>
        <w:tc>
          <w:tcPr>
            <w:tcW w:w="680"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sz w:val="21"/>
                <w:szCs w:val="21"/>
              </w:rPr>
            </w:pPr>
            <w:r>
              <w:rPr>
                <w:sz w:val="21"/>
                <w:szCs w:val="21"/>
              </w:rPr>
              <w:t>X</w:t>
            </w:r>
          </w:p>
        </w:tc>
        <w:tc>
          <w:tcPr>
            <w:tcW w:w="1161" w:type="dxa"/>
            <w:tcBorders>
              <w:top w:val="single" w:color="auto" w:sz="4" w:space="0"/>
              <w:left w:val="single" w:color="auto" w:sz="12" w:space="0"/>
              <w:bottom w:val="single" w:color="auto" w:sz="4" w:space="0"/>
            </w:tcBorders>
            <w:vAlign w:val="center"/>
          </w:tcPr>
          <w:p>
            <w:pPr>
              <w:autoSpaceDE w:val="0"/>
              <w:autoSpaceDN w:val="0"/>
              <w:adjustRightInd w:val="0"/>
              <w:snapToGrid w:val="0"/>
              <w:jc w:val="center"/>
              <w:rPr>
                <w:sz w:val="21"/>
                <w:szCs w:val="21"/>
              </w:rPr>
            </w:pPr>
            <w:r>
              <w:rPr>
                <w:sz w:val="21"/>
                <w:szCs w:val="21"/>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2380" w:type="dxa"/>
            <w:tcBorders>
              <w:bottom w:val="single" w:color="auto" w:sz="12" w:space="0"/>
              <w:right w:val="single" w:color="auto" w:sz="12" w:space="0"/>
            </w:tcBorders>
            <w:vAlign w:val="center"/>
          </w:tcPr>
          <w:p>
            <w:pPr>
              <w:autoSpaceDE w:val="0"/>
              <w:autoSpaceDN w:val="0"/>
              <w:adjustRightInd w:val="0"/>
              <w:snapToGrid w:val="0"/>
              <w:rPr>
                <w:rFonts w:hint="eastAsia" w:eastAsia="宋体"/>
                <w:sz w:val="21"/>
                <w:szCs w:val="21"/>
                <w:lang w:val="en-US" w:eastAsia="zh-CN"/>
              </w:rPr>
            </w:pPr>
            <w:r>
              <w:rPr>
                <w:sz w:val="21"/>
                <w:szCs w:val="21"/>
              </w:rPr>
              <w:t>住院In/出院R</w:t>
            </w:r>
            <w:r>
              <w:rPr>
                <w:rFonts w:hint="eastAsia"/>
                <w:sz w:val="21"/>
                <w:szCs w:val="21"/>
                <w:lang w:val="en-US" w:eastAsia="zh-CN"/>
              </w:rPr>
              <w:t>/随访V</w:t>
            </w:r>
          </w:p>
        </w:tc>
        <w:tc>
          <w:tcPr>
            <w:tcW w:w="1179" w:type="dxa"/>
            <w:tcBorders>
              <w:bottom w:val="single" w:color="auto" w:sz="12" w:space="0"/>
              <w:right w:val="single" w:color="auto" w:sz="12" w:space="0"/>
            </w:tcBorders>
            <w:vAlign w:val="center"/>
          </w:tcPr>
          <w:p>
            <w:pPr>
              <w:autoSpaceDE w:val="0"/>
              <w:autoSpaceDN w:val="0"/>
              <w:adjustRightInd w:val="0"/>
              <w:snapToGrid w:val="0"/>
              <w:jc w:val="center"/>
              <w:rPr>
                <w:sz w:val="21"/>
                <w:szCs w:val="21"/>
              </w:rPr>
            </w:pPr>
          </w:p>
        </w:tc>
        <w:tc>
          <w:tcPr>
            <w:tcW w:w="670" w:type="dxa"/>
            <w:tcBorders>
              <w:left w:val="single" w:color="auto" w:sz="12" w:space="0"/>
              <w:bottom w:val="single" w:color="auto" w:sz="12"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In</w:t>
            </w:r>
          </w:p>
        </w:tc>
        <w:tc>
          <w:tcPr>
            <w:tcW w:w="62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4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R</w:t>
            </w:r>
          </w:p>
        </w:tc>
        <w:tc>
          <w:tcPr>
            <w:tcW w:w="680" w:type="dxa"/>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snapToGrid w:val="0"/>
              <w:jc w:val="center"/>
              <w:rPr>
                <w:sz w:val="21"/>
                <w:szCs w:val="21"/>
                <w:lang w:eastAsia="zh-TW"/>
              </w:rPr>
            </w:pPr>
            <w:r>
              <w:rPr>
                <w:sz w:val="21"/>
                <w:szCs w:val="21"/>
              </w:rPr>
              <w:t>In</w:t>
            </w:r>
          </w:p>
        </w:tc>
        <w:tc>
          <w:tcPr>
            <w:tcW w:w="61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30"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p>
        </w:tc>
        <w:tc>
          <w:tcPr>
            <w:tcW w:w="654"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napToGrid w:val="0"/>
              <w:jc w:val="center"/>
              <w:rPr>
                <w:sz w:val="21"/>
                <w:szCs w:val="21"/>
              </w:rPr>
            </w:pPr>
            <w:r>
              <w:rPr>
                <w:sz w:val="21"/>
                <w:szCs w:val="21"/>
              </w:rPr>
              <w:t>R</w:t>
            </w:r>
          </w:p>
        </w:tc>
        <w:tc>
          <w:tcPr>
            <w:tcW w:w="1161" w:type="dxa"/>
            <w:tcBorders>
              <w:top w:val="single" w:color="auto" w:sz="4" w:space="0"/>
              <w:left w:val="single" w:color="auto" w:sz="12" w:space="0"/>
              <w:bottom w:val="single" w:color="auto" w:sz="12" w:space="0"/>
            </w:tcBorders>
            <w:vAlign w:val="center"/>
          </w:tcPr>
          <w:p>
            <w:pPr>
              <w:autoSpaceDE w:val="0"/>
              <w:autoSpaceDN w:val="0"/>
              <w:adjustRightInd w:val="0"/>
              <w:snapToGrid w:val="0"/>
              <w:jc w:val="center"/>
              <w:rPr>
                <w:rFonts w:hint="eastAsia" w:eastAsia="宋体"/>
                <w:sz w:val="21"/>
                <w:szCs w:val="21"/>
                <w:lang w:eastAsia="zh-CN"/>
              </w:rPr>
            </w:pPr>
            <w:r>
              <w:rPr>
                <w:rFonts w:hint="eastAsia"/>
                <w:sz w:val="21"/>
                <w:szCs w:val="21"/>
                <w:lang w:val="en-US" w:eastAsia="zh-CN"/>
              </w:rPr>
              <w:t>V</w:t>
            </w:r>
          </w:p>
        </w:tc>
      </w:tr>
    </w:tbl>
    <w:p>
      <w:pPr>
        <w:autoSpaceDE w:val="0"/>
        <w:autoSpaceDN w:val="0"/>
        <w:adjustRightInd w:val="0"/>
        <w:snapToGrid w:val="0"/>
        <w:ind w:left="2" w:firstLine="0"/>
        <w:rPr>
          <w:sz w:val="20"/>
          <w:szCs w:val="20"/>
          <w:lang w:eastAsia="zh-CN"/>
        </w:rPr>
      </w:pPr>
      <w:bookmarkStart w:id="127" w:name="_Toc521584560"/>
      <w:r>
        <w:rPr>
          <w:rFonts w:hint="eastAsia"/>
          <w:sz w:val="20"/>
          <w:szCs w:val="20"/>
          <w:lang w:eastAsia="zh-CN"/>
        </w:rPr>
        <w:t>备注：</w:t>
      </w:r>
    </w:p>
    <w:p>
      <w:pPr>
        <w:numPr>
          <w:ilvl w:val="0"/>
          <w:numId w:val="14"/>
        </w:numPr>
        <w:autoSpaceDE w:val="0"/>
        <w:autoSpaceDN w:val="0"/>
        <w:adjustRightInd w:val="0"/>
        <w:snapToGrid w:val="0"/>
        <w:ind w:left="0" w:firstLine="2"/>
        <w:rPr>
          <w:sz w:val="20"/>
          <w:szCs w:val="20"/>
          <w:lang w:eastAsia="zh-CN"/>
        </w:rPr>
      </w:pPr>
      <w:r>
        <w:rPr>
          <w:sz w:val="20"/>
          <w:szCs w:val="20"/>
          <w:lang w:eastAsia="zh-CN"/>
        </w:rPr>
        <w:t>生命体征测量：坐位脉搏、血压、</w:t>
      </w:r>
      <w:r>
        <w:rPr>
          <w:rFonts w:hint="eastAsia"/>
          <w:sz w:val="20"/>
          <w:szCs w:val="20"/>
          <w:lang w:eastAsia="zh-CN"/>
        </w:rPr>
        <w:t>体温</w:t>
      </w:r>
      <w:r>
        <w:rPr>
          <w:sz w:val="20"/>
          <w:szCs w:val="20"/>
          <w:lang w:eastAsia="zh-CN"/>
        </w:rPr>
        <w:t>。生命体征测量时间窗分别为</w:t>
      </w:r>
      <w:r>
        <w:rPr>
          <w:color w:val="000000"/>
          <w:sz w:val="20"/>
          <w:szCs w:val="20"/>
          <w:lang w:eastAsia="zh-CN"/>
        </w:rPr>
        <w:t>服药前1h内及服药后</w:t>
      </w:r>
      <w:r>
        <w:rPr>
          <w:color w:val="000000"/>
          <w:sz w:val="20"/>
          <w:szCs w:val="20"/>
        </w:rPr>
        <w:fldChar w:fldCharType="begin"/>
      </w:r>
      <w:r>
        <w:rPr>
          <w:color w:val="000000"/>
          <w:sz w:val="20"/>
          <w:szCs w:val="20"/>
          <w:lang w:eastAsia="zh-CN"/>
        </w:rPr>
        <w:instrText xml:space="preserve"> </w:instrText>
      </w:r>
      <w:r>
        <w:rPr>
          <w:rFonts w:hint="eastAsia"/>
          <w:color w:val="000000"/>
          <w:sz w:val="20"/>
          <w:szCs w:val="20"/>
          <w:lang w:eastAsia="zh-CN"/>
        </w:rPr>
        <w:instrText xml:space="preserve">MERGEFIELD 餐后体征</w:instrText>
      </w:r>
      <w:r>
        <w:rPr>
          <w:color w:val="000000"/>
          <w:sz w:val="20"/>
          <w:szCs w:val="20"/>
          <w:lang w:eastAsia="zh-CN"/>
        </w:rPr>
        <w:instrText xml:space="preserve"> </w:instrText>
      </w:r>
      <w:r>
        <w:rPr>
          <w:color w:val="000000"/>
          <w:sz w:val="20"/>
          <w:szCs w:val="20"/>
        </w:rPr>
        <w:fldChar w:fldCharType="separate"/>
      </w:r>
      <w:r>
        <w:rPr>
          <w:rFonts w:hint="eastAsia"/>
          <w:color w:val="000000"/>
          <w:sz w:val="20"/>
          <w:szCs w:val="20"/>
          <w:lang w:eastAsia="zh-CN"/>
        </w:rPr>
        <w:t>1±0.5h、3±0.5h、12±1.0h、24±1</w:t>
      </w:r>
      <w:r>
        <w:rPr>
          <w:color w:val="000000"/>
          <w:sz w:val="20"/>
          <w:szCs w:val="20"/>
          <w:lang w:eastAsia="zh-CN"/>
        </w:rPr>
        <w:t>.0</w:t>
      </w:r>
      <w:r>
        <w:rPr>
          <w:rFonts w:hint="eastAsia"/>
          <w:color w:val="000000"/>
          <w:sz w:val="20"/>
          <w:szCs w:val="20"/>
          <w:lang w:eastAsia="zh-CN"/>
        </w:rPr>
        <w:t>h</w:t>
      </w:r>
      <w:r>
        <w:rPr>
          <w:color w:val="000000"/>
          <w:sz w:val="20"/>
          <w:szCs w:val="20"/>
        </w:rPr>
        <w:fldChar w:fldCharType="end"/>
      </w:r>
      <w:r>
        <w:rPr>
          <w:rFonts w:hint="eastAsia"/>
          <w:color w:val="000000"/>
          <w:sz w:val="20"/>
          <w:szCs w:val="20"/>
          <w:lang w:eastAsia="zh-CN"/>
        </w:rPr>
        <w:t>、</w:t>
      </w:r>
      <w:r>
        <w:rPr>
          <w:rFonts w:hint="eastAsia"/>
          <w:sz w:val="20"/>
          <w:szCs w:val="20"/>
          <w:lang w:eastAsia="zh-CN"/>
        </w:rPr>
        <w:t>36</w:t>
      </w:r>
      <w:r>
        <w:rPr>
          <w:rFonts w:hint="eastAsia"/>
          <w:color w:val="000000"/>
          <w:sz w:val="20"/>
          <w:szCs w:val="20"/>
          <w:lang w:eastAsia="zh-CN"/>
        </w:rPr>
        <w:t>±</w:t>
      </w:r>
      <w:r>
        <w:rPr>
          <w:sz w:val="20"/>
          <w:szCs w:val="20"/>
          <w:lang w:eastAsia="zh-CN"/>
        </w:rPr>
        <w:t>1.0h、</w:t>
      </w:r>
      <w:r>
        <w:rPr>
          <w:color w:val="000000"/>
          <w:sz w:val="20"/>
          <w:szCs w:val="20"/>
          <w:lang w:eastAsia="zh-CN"/>
        </w:rPr>
        <w:t>48</w:t>
      </w:r>
      <w:r>
        <w:rPr>
          <w:rFonts w:hint="eastAsia"/>
          <w:color w:val="000000"/>
          <w:sz w:val="20"/>
          <w:szCs w:val="20"/>
          <w:lang w:eastAsia="zh-CN"/>
        </w:rPr>
        <w:t>±1</w:t>
      </w:r>
      <w:r>
        <w:rPr>
          <w:color w:val="000000"/>
          <w:sz w:val="20"/>
          <w:szCs w:val="20"/>
          <w:lang w:eastAsia="zh-CN"/>
        </w:rPr>
        <w:t>.0h</w:t>
      </w:r>
      <w:r>
        <w:rPr>
          <w:sz w:val="20"/>
          <w:szCs w:val="20"/>
          <w:lang w:eastAsia="zh-CN"/>
        </w:rPr>
        <w:t>。</w:t>
      </w:r>
      <w:r>
        <w:rPr>
          <w:rFonts w:hint="eastAsia"/>
          <w:sz w:val="20"/>
          <w:szCs w:val="20"/>
          <w:lang w:eastAsia="zh-CN"/>
        </w:rPr>
        <w:t>生命体征参考值范围：收缩压90~140mmHg，舒张压60~90mmHg，脉搏50~100次/分，体温（额温）35.8~37.8℃，具体情况由研究者综合判定。</w:t>
      </w:r>
    </w:p>
    <w:p>
      <w:pPr>
        <w:pStyle w:val="103"/>
        <w:numPr>
          <w:ilvl w:val="0"/>
          <w:numId w:val="14"/>
        </w:numPr>
        <w:autoSpaceDE w:val="0"/>
        <w:autoSpaceDN w:val="0"/>
        <w:adjustRightInd w:val="0"/>
        <w:snapToGrid w:val="0"/>
        <w:spacing w:line="360" w:lineRule="auto"/>
        <w:ind w:left="0" w:firstLine="2"/>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血常规检查包括：红细胞计数，白细胞计数，中性粒细胞绝对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，淋巴细胞绝对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，单核细胞绝对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，嗜酸性粒细胞绝对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，嗜碱性粒细胞绝对</w:t>
      </w:r>
      <w:r>
        <w:rPr>
          <w:rFonts w:ascii="Times New Roman" w:hAnsi="Times New Roman" w:eastAsia="宋体" w:cs="Times New Roman"/>
          <w:color w:val="auto"/>
          <w:kern w:val="0"/>
          <w:sz w:val="20"/>
          <w:szCs w:val="20"/>
        </w:rPr>
        <w:t>值</w:t>
      </w:r>
      <w:r>
        <w:rPr>
          <w:rFonts w:hint="default" w:ascii="Times New Roman" w:hAnsi="Times New Roman" w:eastAsia="宋体" w:cs="Times New Roman"/>
          <w:color w:val="auto"/>
          <w:kern w:val="0"/>
          <w:sz w:val="20"/>
          <w:szCs w:val="20"/>
        </w:rPr>
        <w:t>，血红蛋白</w:t>
      </w:r>
      <w:r>
        <w:rPr>
          <w:rFonts w:ascii="Times New Roman" w:hAnsi="Times New Roman" w:eastAsia="宋体" w:cs="Times New Roman"/>
          <w:color w:val="auto"/>
          <w:kern w:val="0"/>
          <w:sz w:val="20"/>
          <w:szCs w:val="20"/>
        </w:rPr>
        <w:t>浓度</w:t>
      </w:r>
      <w:r>
        <w:rPr>
          <w:rFonts w:hint="default" w:ascii="Times New Roman" w:hAnsi="Times New Roman" w:eastAsia="宋体" w:cs="Times New Roman"/>
          <w:color w:val="auto"/>
          <w:kern w:val="0"/>
          <w:sz w:val="20"/>
          <w:szCs w:val="20"/>
        </w:rPr>
        <w:t>，血小板</w:t>
      </w:r>
      <w:r>
        <w:rPr>
          <w:rFonts w:ascii="Times New Roman" w:hAnsi="Times New Roman" w:eastAsia="宋体" w:cs="Times New Roman"/>
          <w:color w:val="auto"/>
          <w:kern w:val="0"/>
          <w:sz w:val="20"/>
          <w:szCs w:val="20"/>
        </w:rPr>
        <w:t>计数</w:t>
      </w:r>
      <w:r>
        <w:rPr>
          <w:rFonts w:hint="default" w:ascii="Times New Roman" w:hAnsi="Times New Roman" w:eastAsia="宋体" w:cs="Times New Roman"/>
          <w:color w:val="auto"/>
          <w:kern w:val="0"/>
          <w:sz w:val="20"/>
          <w:szCs w:val="20"/>
        </w:rPr>
        <w:t>。</w:t>
      </w:r>
    </w:p>
    <w:p>
      <w:pPr>
        <w:pStyle w:val="103"/>
        <w:numPr>
          <w:ilvl w:val="0"/>
          <w:numId w:val="14"/>
        </w:numPr>
        <w:autoSpaceDE w:val="0"/>
        <w:autoSpaceDN w:val="0"/>
        <w:adjustRightInd w:val="0"/>
        <w:snapToGrid w:val="0"/>
        <w:spacing w:line="360" w:lineRule="auto"/>
        <w:ind w:left="0" w:firstLine="2"/>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尿常规检查包括：尿白细胞，尿比重，</w:t>
      </w:r>
      <w:r>
        <w:rPr>
          <w:rFonts w:ascii="Times New Roman" w:hAnsi="Times New Roman" w:eastAsia="宋体" w:cs="Times New Roman"/>
          <w:color w:val="auto"/>
          <w:kern w:val="0"/>
          <w:sz w:val="20"/>
          <w:szCs w:val="20"/>
        </w:rPr>
        <w:t>酸碱度</w:t>
      </w:r>
      <w:r>
        <w:rPr>
          <w:rFonts w:hint="default" w:ascii="Times New Roman" w:hAnsi="Times New Roman" w:eastAsia="宋体" w:cs="Times New Roman"/>
          <w:color w:val="auto"/>
          <w:kern w:val="0"/>
          <w:sz w:val="20"/>
          <w:szCs w:val="20"/>
        </w:rPr>
        <w:t>，尿蛋白，</w:t>
      </w:r>
      <w:r>
        <w:rPr>
          <w:rFonts w:ascii="Times New Roman" w:hAnsi="Times New Roman" w:eastAsia="宋体" w:cs="Times New Roman"/>
          <w:color w:val="auto"/>
          <w:kern w:val="0"/>
          <w:sz w:val="20"/>
          <w:szCs w:val="20"/>
        </w:rPr>
        <w:t>葡糖</w:t>
      </w:r>
      <w:r>
        <w:rPr>
          <w:rFonts w:hint="default" w:ascii="Times New Roman" w:hAnsi="Times New Roman" w:eastAsia="宋体" w:cs="Times New Roman"/>
          <w:color w:val="auto"/>
          <w:kern w:val="0"/>
          <w:sz w:val="20"/>
          <w:szCs w:val="20"/>
        </w:rPr>
        <w:t>糖，尿酮体，胆红素，尿胆原，潜血</w:t>
      </w:r>
      <w:r>
        <w:rPr>
          <w:rFonts w:ascii="Times New Roman" w:hAnsi="Times New Roman" w:eastAsia="宋体" w:cs="Times New Roman"/>
          <w:color w:val="auto"/>
          <w:kern w:val="0"/>
          <w:sz w:val="20"/>
          <w:szCs w:val="20"/>
        </w:rPr>
        <w:t>，镜检白细胞，镜检红细胞</w:t>
      </w:r>
      <w:r>
        <w:rPr>
          <w:rFonts w:hint="default" w:ascii="Times New Roman" w:hAnsi="Times New Roman" w:eastAsia="宋体" w:cs="Times New Roman"/>
          <w:color w:val="auto"/>
          <w:kern w:val="0"/>
          <w:sz w:val="20"/>
          <w:szCs w:val="20"/>
        </w:rPr>
        <w:t>。</w:t>
      </w:r>
    </w:p>
    <w:p>
      <w:pPr>
        <w:numPr>
          <w:ilvl w:val="0"/>
          <w:numId w:val="14"/>
        </w:numPr>
        <w:autoSpaceDE w:val="0"/>
        <w:autoSpaceDN w:val="0"/>
        <w:adjustRightInd w:val="0"/>
        <w:snapToGrid w:val="0"/>
        <w:ind w:left="0" w:firstLine="2"/>
        <w:rPr>
          <w:color w:val="auto"/>
          <w:sz w:val="20"/>
          <w:szCs w:val="20"/>
          <w:lang w:eastAsia="zh-CN"/>
        </w:rPr>
      </w:pPr>
      <w:r>
        <w:rPr>
          <w:sz w:val="20"/>
          <w:szCs w:val="20"/>
          <w:lang w:eastAsia="zh-CN"/>
        </w:rPr>
        <w:t>血生化检查项包括：白蛋白，总蛋白，总胆固醇，甘油三酯，尿素，肌酐，尿酸，总胆红素，直</w:t>
      </w:r>
      <w:r>
        <w:rPr>
          <w:color w:val="auto"/>
          <w:sz w:val="20"/>
          <w:szCs w:val="20"/>
          <w:lang w:eastAsia="zh-CN"/>
        </w:rPr>
        <w:t>接胆红素，谷丙转氨酶，谷草转氨酶，</w:t>
      </w:r>
      <w:r>
        <w:rPr>
          <w:rFonts w:hint="eastAsia"/>
          <w:color w:val="auto"/>
          <w:sz w:val="20"/>
          <w:szCs w:val="20"/>
          <w:lang w:eastAsia="zh-CN"/>
        </w:rPr>
        <w:t>葡萄</w:t>
      </w:r>
      <w:r>
        <w:rPr>
          <w:color w:val="auto"/>
          <w:sz w:val="20"/>
          <w:szCs w:val="20"/>
          <w:lang w:eastAsia="zh-CN"/>
        </w:rPr>
        <w:t>糖，钠，钾。</w:t>
      </w:r>
    </w:p>
    <w:p>
      <w:pPr>
        <w:numPr>
          <w:ilvl w:val="0"/>
          <w:numId w:val="14"/>
        </w:numPr>
        <w:autoSpaceDE w:val="0"/>
        <w:autoSpaceDN w:val="0"/>
        <w:adjustRightInd w:val="0"/>
        <w:snapToGrid w:val="0"/>
        <w:ind w:left="0" w:firstLine="2"/>
        <w:rPr>
          <w:sz w:val="20"/>
          <w:szCs w:val="20"/>
          <w:lang w:eastAsia="zh-CN"/>
        </w:rPr>
      </w:pPr>
      <w:r>
        <w:rPr>
          <w:rFonts w:hint="eastAsia"/>
          <w:sz w:val="20"/>
          <w:szCs w:val="20"/>
          <w:lang w:val="en-US" w:eastAsia="zh-CN"/>
        </w:rPr>
        <w:t>凝血功能：</w:t>
      </w:r>
      <w:r>
        <w:rPr>
          <w:rFonts w:hint="eastAsia"/>
          <w:sz w:val="20"/>
          <w:szCs w:val="20"/>
          <w:lang w:eastAsia="zh-CN"/>
        </w:rPr>
        <w:t>凝血酶原时间，活化部分凝血活酶时间，凝血酶时间，纤维蛋白原含量。</w:t>
      </w:r>
    </w:p>
    <w:p>
      <w:pPr>
        <w:numPr>
          <w:ilvl w:val="0"/>
          <w:numId w:val="14"/>
        </w:numPr>
        <w:autoSpaceDE w:val="0"/>
        <w:autoSpaceDN w:val="0"/>
        <w:adjustRightInd w:val="0"/>
        <w:snapToGrid w:val="0"/>
        <w:ind w:left="0" w:firstLine="2"/>
        <w:rPr>
          <w:sz w:val="20"/>
          <w:szCs w:val="20"/>
          <w:lang w:eastAsia="zh-CN"/>
        </w:rPr>
      </w:pPr>
      <w:r>
        <w:rPr>
          <w:sz w:val="20"/>
          <w:szCs w:val="20"/>
          <w:lang w:eastAsia="zh-CN"/>
        </w:rPr>
        <w:t>输血四项：包括</w:t>
      </w:r>
      <w:r>
        <w:rPr>
          <w:rFonts w:hint="eastAsia"/>
          <w:sz w:val="20"/>
          <w:szCs w:val="20"/>
          <w:lang w:eastAsia="zh-CN"/>
        </w:rPr>
        <w:t>乙肝病毒表面抗原</w:t>
      </w:r>
      <w:r>
        <w:rPr>
          <w:sz w:val="20"/>
          <w:szCs w:val="20"/>
          <w:lang w:eastAsia="zh-CN"/>
        </w:rPr>
        <w:t>、</w:t>
      </w:r>
      <w:r>
        <w:rPr>
          <w:rFonts w:hint="eastAsia"/>
          <w:sz w:val="20"/>
          <w:szCs w:val="20"/>
          <w:lang w:eastAsia="zh-CN"/>
        </w:rPr>
        <w:t>丙肝病毒抗体</w:t>
      </w:r>
      <w:r>
        <w:rPr>
          <w:sz w:val="20"/>
          <w:szCs w:val="20"/>
          <w:lang w:eastAsia="zh-CN"/>
        </w:rPr>
        <w:t>、HIV抗体和梅毒螺旋体抗体</w:t>
      </w:r>
      <w:r>
        <w:rPr>
          <w:rFonts w:hint="eastAsia"/>
          <w:sz w:val="20"/>
          <w:szCs w:val="20"/>
          <w:lang w:eastAsia="zh-CN"/>
        </w:rPr>
        <w:t>。</w:t>
      </w:r>
    </w:p>
    <w:p>
      <w:pPr>
        <w:pStyle w:val="103"/>
        <w:numPr>
          <w:ilvl w:val="0"/>
          <w:numId w:val="14"/>
        </w:numPr>
        <w:autoSpaceDE w:val="0"/>
        <w:autoSpaceDN w:val="0"/>
        <w:adjustRightInd w:val="0"/>
        <w:snapToGrid w:val="0"/>
        <w:spacing w:line="360" w:lineRule="auto"/>
        <w:ind w:left="0" w:firstLine="2"/>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sz w:val="20"/>
          <w:szCs w:val="20"/>
        </w:rPr>
        <w:t>血妊娠检查（仅育龄期女性）：筛选期、</w:t>
      </w:r>
      <w:r>
        <w:rPr>
          <w:rFonts w:ascii="Times New Roman" w:hAnsi="Times New Roman" w:eastAsia="宋体" w:cs="Times New Roman"/>
          <w:color w:val="auto"/>
          <w:sz w:val="20"/>
          <w:szCs w:val="20"/>
        </w:rPr>
        <w:t>入住当天</w:t>
      </w:r>
      <w:r>
        <w:rPr>
          <w:rFonts w:hint="default" w:ascii="Times New Roman" w:hAnsi="Times New Roman" w:eastAsia="宋体" w:cs="Times New Roman"/>
          <w:color w:val="auto"/>
          <w:sz w:val="20"/>
          <w:szCs w:val="20"/>
        </w:rPr>
        <w:t>D-1</w:t>
      </w:r>
      <w:r>
        <w:rPr>
          <w:rFonts w:ascii="Times New Roman" w:hAnsi="Times New Roman" w:eastAsia="宋体" w:cs="Times New Roman"/>
          <w:color w:val="auto"/>
          <w:sz w:val="20"/>
          <w:szCs w:val="20"/>
        </w:rPr>
        <w:t>/D7</w:t>
      </w:r>
      <w:r>
        <w:rPr>
          <w:rFonts w:hint="default" w:ascii="Times New Roman" w:hAnsi="Times New Roman" w:eastAsia="宋体" w:cs="Times New Roman"/>
          <w:color w:val="auto"/>
          <w:sz w:val="20"/>
          <w:szCs w:val="20"/>
        </w:rPr>
        <w:t>、</w:t>
      </w:r>
      <w:r>
        <w:rPr>
          <w:rFonts w:ascii="Times New Roman" w:hAnsi="Times New Roman" w:eastAsia="宋体" w:cs="Times New Roman"/>
          <w:color w:val="auto"/>
          <w:sz w:val="20"/>
          <w:szCs w:val="20"/>
        </w:rPr>
        <w:t>末次出组时（包括提前退出）</w:t>
      </w:r>
      <w:r>
        <w:rPr>
          <w:rFonts w:hint="default" w:ascii="Times New Roman" w:hAnsi="Times New Roman" w:eastAsia="宋体" w:cs="Times New Roman"/>
          <w:color w:val="auto"/>
          <w:sz w:val="20"/>
          <w:szCs w:val="20"/>
        </w:rPr>
        <w:t>检查。</w:t>
      </w:r>
    </w:p>
    <w:p>
      <w:pPr>
        <w:pStyle w:val="103"/>
        <w:numPr>
          <w:ilvl w:val="0"/>
          <w:numId w:val="14"/>
        </w:numPr>
        <w:autoSpaceDE w:val="0"/>
        <w:autoSpaceDN w:val="0"/>
        <w:adjustRightInd w:val="0"/>
        <w:snapToGrid w:val="0"/>
        <w:spacing w:line="360" w:lineRule="auto"/>
        <w:ind w:left="0" w:firstLine="2"/>
        <w:rPr>
          <w:rFonts w:hint="default" w:ascii="Times New Roman" w:hAnsi="Times New Roman" w:eastAsia="宋体" w:cs="Times New Roman"/>
          <w:color w:val="auto"/>
          <w:kern w:val="0"/>
          <w:sz w:val="20"/>
          <w:szCs w:val="20"/>
        </w:rPr>
      </w:pPr>
      <w:r>
        <w:rPr>
          <w:rFonts w:hint="default" w:ascii="Times New Roman" w:hAnsi="Times New Roman" w:eastAsia="宋体" w:cs="Times New Roman"/>
          <w:color w:val="auto"/>
          <w:kern w:val="0"/>
          <w:sz w:val="20"/>
          <w:szCs w:val="20"/>
        </w:rPr>
        <w:t>药物滥用筛查包括：吗啡、甲基安非他明（冰毒）、氯胺酮、二亚甲基双氧安非他明（摇头丸）、四氢大麻酚酸（大麻）。</w:t>
      </w:r>
    </w:p>
    <w:p>
      <w:pPr>
        <w:rPr>
          <w:sz w:val="20"/>
          <w:szCs w:val="20"/>
          <w:lang w:eastAsia="zh-CN"/>
        </w:rPr>
      </w:pPr>
      <w:r>
        <w:rPr>
          <w:sz w:val="20"/>
          <w:szCs w:val="20"/>
          <w:lang w:eastAsia="zh-CN"/>
        </w:rPr>
        <w:t>其他：a、筛选期，血生化、血常规、尿常规检查时间</w:t>
      </w:r>
      <w:r>
        <w:rPr>
          <w:rFonts w:hint="eastAsia"/>
          <w:sz w:val="20"/>
          <w:szCs w:val="20"/>
          <w:lang w:eastAsia="zh-CN"/>
        </w:rPr>
        <w:t>小</w:t>
      </w:r>
      <w:r>
        <w:rPr>
          <w:sz w:val="20"/>
          <w:szCs w:val="20"/>
          <w:lang w:eastAsia="zh-CN"/>
        </w:rPr>
        <w:t>于7天</w:t>
      </w:r>
      <w:r>
        <w:rPr>
          <w:rFonts w:hint="eastAsia"/>
          <w:sz w:val="20"/>
          <w:szCs w:val="20"/>
          <w:lang w:eastAsia="zh-CN"/>
        </w:rPr>
        <w:t>无</w:t>
      </w:r>
      <w:r>
        <w:rPr>
          <w:sz w:val="20"/>
          <w:szCs w:val="20"/>
          <w:lang w:eastAsia="zh-CN"/>
        </w:rPr>
        <w:t>需要复查；b、-1天参加筛选的受试</w:t>
      </w:r>
    </w:p>
    <w:p>
      <w:pPr>
        <w:rPr>
          <w:rFonts w:hint="eastAsia"/>
          <w:sz w:val="20"/>
          <w:szCs w:val="20"/>
          <w:lang w:val="en-US" w:eastAsia="zh-CN"/>
        </w:rPr>
      </w:pPr>
      <w:r>
        <w:rPr>
          <w:sz w:val="20"/>
          <w:szCs w:val="20"/>
          <w:lang w:eastAsia="zh-CN"/>
        </w:rPr>
        <w:t>者，检验检查仅进行1次即可</w:t>
      </w:r>
      <w:r>
        <w:rPr>
          <w:rFonts w:hint="eastAsia"/>
          <w:sz w:val="20"/>
          <w:szCs w:val="20"/>
          <w:lang w:eastAsia="zh-CN"/>
        </w:rPr>
        <w:t>；</w:t>
      </w:r>
      <w:r>
        <w:rPr>
          <w:rFonts w:hint="eastAsia"/>
          <w:sz w:val="20"/>
          <w:szCs w:val="20"/>
          <w:lang w:val="en-US" w:eastAsia="zh-CN"/>
        </w:rPr>
        <w:t>c、服药后提前出组的受试者也应在出组当天完成全部的安全性检查项</w:t>
      </w:r>
    </w:p>
    <w:p>
      <w:pPr>
        <w:rPr>
          <w:sz w:val="20"/>
          <w:szCs w:val="20"/>
          <w:lang w:eastAsia="zh-CN"/>
        </w:rPr>
      </w:pPr>
      <w:r>
        <w:rPr>
          <w:rFonts w:hint="eastAsia"/>
          <w:sz w:val="20"/>
          <w:szCs w:val="20"/>
          <w:lang w:val="en-US" w:eastAsia="zh-CN"/>
        </w:rPr>
        <w:t>目</w:t>
      </w:r>
      <w:r>
        <w:rPr>
          <w:rFonts w:hint="default"/>
          <w:sz w:val="20"/>
          <w:szCs w:val="20"/>
          <w:lang w:val="zh-TW" w:eastAsia="zh-CN"/>
        </w:rPr>
        <w:t>。</w:t>
      </w:r>
    </w:p>
    <w:p>
      <w:pPr>
        <w:pStyle w:val="69"/>
        <w:numPr>
          <w:ilvl w:val="2"/>
          <w:numId w:val="0"/>
        </w:numPr>
        <w:autoSpaceDE w:val="0"/>
        <w:autoSpaceDN w:val="0"/>
        <w:snapToGrid/>
        <w:contextualSpacing/>
        <w:rPr>
          <w:rFonts w:eastAsiaTheme="minorEastAsia"/>
        </w:rPr>
      </w:pPr>
      <w:bookmarkStart w:id="128" w:name="_Toc5558"/>
      <w:r>
        <w:rPr>
          <w:rFonts w:hint="eastAsia" w:eastAsiaTheme="minorEastAsia"/>
          <w:lang w:val="en-US" w:eastAsia="zh-CN"/>
        </w:rPr>
        <w:t>2.4.4</w:t>
      </w:r>
      <w:r>
        <w:rPr>
          <w:rFonts w:eastAsiaTheme="minorEastAsia"/>
        </w:rPr>
        <w:t>研究程序</w:t>
      </w:r>
      <w:bookmarkEnd w:id="127"/>
      <w:bookmarkEnd w:id="128"/>
    </w:p>
    <w:p>
      <w:pPr>
        <w:pStyle w:val="3"/>
        <w:numPr>
          <w:ilvl w:val="3"/>
          <w:numId w:val="15"/>
        </w:numPr>
        <w:autoSpaceDE w:val="0"/>
        <w:autoSpaceDN w:val="0"/>
        <w:adjustRightInd w:val="0"/>
        <w:ind w:left="1077" w:hanging="1077"/>
        <w:contextualSpacing/>
        <w:outlineLvl w:val="3"/>
        <w:rPr>
          <w:rFonts w:ascii="Times New Roman" w:hAnsi="Times New Roman" w:eastAsia="宋体" w:cs="Times New Roman"/>
          <w:b/>
          <w:bCs/>
          <w:color w:val="auto"/>
          <w:sz w:val="24"/>
          <w:szCs w:val="24"/>
          <w:lang w:val="zh-TW"/>
        </w:rPr>
      </w:pPr>
      <w:bookmarkStart w:id="129" w:name="_Toc446673709"/>
      <w:bookmarkStart w:id="130" w:name="_Toc449281998"/>
      <w:bookmarkStart w:id="131" w:name="_Toc8280"/>
      <w:bookmarkStart w:id="132" w:name="_Toc9512"/>
      <w:bookmarkStart w:id="133" w:name="_Toc523500656"/>
      <w:bookmarkStart w:id="134" w:name="_Toc28249"/>
      <w:r>
        <w:rPr>
          <w:rFonts w:ascii="Times New Roman" w:hAnsi="Times New Roman" w:eastAsia="宋体" w:cs="Times New Roman"/>
          <w:b/>
          <w:bCs/>
          <w:color w:val="auto"/>
          <w:sz w:val="24"/>
          <w:szCs w:val="24"/>
          <w:lang w:val="zh-TW" w:eastAsia="zh-TW"/>
        </w:rPr>
        <w:t>筛选期</w:t>
      </w:r>
      <w:bookmarkEnd w:id="129"/>
      <w:bookmarkEnd w:id="130"/>
      <w:r>
        <w:rPr>
          <w:rFonts w:hint="eastAsia" w:ascii="Times New Roman" w:hAnsi="Times New Roman" w:eastAsia="宋体" w:cs="Times New Roman"/>
          <w:b/>
          <w:bCs/>
          <w:color w:val="auto"/>
          <w:sz w:val="24"/>
          <w:szCs w:val="24"/>
          <w:lang w:val="zh-TW"/>
        </w:rPr>
        <w:t>（</w:t>
      </w:r>
      <w:r>
        <w:rPr>
          <w:rFonts w:ascii="Times New Roman" w:hAnsi="Times New Roman" w:eastAsia="宋体" w:cs="Times New Roman"/>
          <w:b/>
          <w:bCs/>
          <w:color w:val="auto"/>
          <w:sz w:val="24"/>
          <w:szCs w:val="24"/>
          <w:lang w:val="zh-TW" w:eastAsia="zh-TW"/>
        </w:rPr>
        <w:t>第</w:t>
      </w:r>
      <w:r>
        <w:rPr>
          <w:rFonts w:ascii="Times New Roman" w:hAnsi="Times New Roman" w:eastAsia="宋体" w:cs="Times New Roman"/>
          <w:b/>
          <w:bCs/>
          <w:color w:val="auto"/>
          <w:sz w:val="24"/>
          <w:szCs w:val="24"/>
          <w:lang w:val="zh-TW"/>
        </w:rPr>
        <w:t>-</w:t>
      </w:r>
      <w:r>
        <w:rPr>
          <w:rFonts w:hint="eastAsia" w:ascii="Times New Roman" w:hAnsi="Times New Roman" w:eastAsia="宋体" w:cs="Times New Roman"/>
          <w:b/>
          <w:bCs/>
          <w:color w:val="auto"/>
          <w:sz w:val="24"/>
          <w:szCs w:val="24"/>
        </w:rPr>
        <w:t>14</w:t>
      </w:r>
      <w:r>
        <w:rPr>
          <w:rFonts w:ascii="Times New Roman" w:hAnsi="Times New Roman" w:eastAsia="宋体" w:cs="Times New Roman"/>
          <w:b/>
          <w:bCs/>
          <w:color w:val="auto"/>
          <w:sz w:val="24"/>
          <w:szCs w:val="24"/>
          <w:lang w:val="zh-TW" w:eastAsia="zh-TW"/>
        </w:rPr>
        <w:t>~</w:t>
      </w:r>
      <w:r>
        <w:rPr>
          <w:rFonts w:ascii="Times New Roman" w:hAnsi="Times New Roman" w:eastAsia="宋体" w:cs="Times New Roman"/>
          <w:b/>
          <w:bCs/>
          <w:color w:val="auto"/>
          <w:sz w:val="24"/>
          <w:szCs w:val="24"/>
        </w:rPr>
        <w:t>-1</w:t>
      </w:r>
      <w:r>
        <w:rPr>
          <w:rFonts w:ascii="Times New Roman" w:hAnsi="Times New Roman" w:eastAsia="宋体" w:cs="Times New Roman"/>
          <w:b/>
          <w:bCs/>
          <w:color w:val="auto"/>
          <w:sz w:val="24"/>
          <w:szCs w:val="24"/>
          <w:lang w:val="zh-TW" w:eastAsia="zh-TW"/>
        </w:rPr>
        <w:t>天</w:t>
      </w:r>
      <w:r>
        <w:rPr>
          <w:rFonts w:hint="eastAsia" w:ascii="Times New Roman" w:hAnsi="Times New Roman" w:eastAsia="宋体" w:cs="Times New Roman"/>
          <w:b/>
          <w:bCs/>
          <w:color w:val="auto"/>
          <w:sz w:val="24"/>
          <w:szCs w:val="24"/>
          <w:lang w:val="zh-TW"/>
        </w:rPr>
        <w:t>）</w:t>
      </w:r>
      <w:bookmarkEnd w:id="131"/>
      <w:bookmarkEnd w:id="132"/>
      <w:bookmarkEnd w:id="133"/>
      <w:bookmarkEnd w:id="134"/>
    </w:p>
    <w:p>
      <w:pPr>
        <w:pStyle w:val="50"/>
        <w:autoSpaceDE w:val="0"/>
        <w:autoSpaceDN w:val="0"/>
        <w:adjustRightInd w:val="0"/>
        <w:ind w:left="0" w:firstLine="480" w:firstLineChars="200"/>
        <w:contextualSpacing/>
        <w:rPr>
          <w:rFonts w:eastAsia="宋体"/>
          <w:color w:val="auto"/>
          <w:lang w:val="zh-TW" w:eastAsia="zh-TW"/>
        </w:rPr>
      </w:pPr>
      <w:r>
        <w:rPr>
          <w:rFonts w:eastAsia="宋体"/>
          <w:color w:val="auto"/>
          <w:lang w:val="zh-TW" w:eastAsia="zh-TW"/>
        </w:rPr>
        <w:t>招募基本信息符合试验要求的受试者进行筛选，受试者参加筛选前必须本着自愿的原则书面签署知情同意书。筛选体检在给药第-</w:t>
      </w:r>
      <w:r>
        <w:rPr>
          <w:rFonts w:hint="eastAsia" w:eastAsia="宋体"/>
          <w:color w:val="auto"/>
        </w:rPr>
        <w:t>14</w:t>
      </w:r>
      <w:r>
        <w:rPr>
          <w:rFonts w:eastAsia="宋体"/>
          <w:color w:val="auto"/>
          <w:lang w:val="zh-TW" w:eastAsia="zh-TW"/>
        </w:rPr>
        <w:t>天至第-</w:t>
      </w:r>
      <w:r>
        <w:rPr>
          <w:rFonts w:eastAsia="宋体"/>
          <w:color w:val="auto"/>
          <w:lang w:val="zh-TW"/>
        </w:rPr>
        <w:t>1</w:t>
      </w:r>
      <w:r>
        <w:rPr>
          <w:rFonts w:eastAsia="宋体"/>
          <w:color w:val="auto"/>
          <w:lang w:val="zh-TW" w:eastAsia="zh-TW"/>
        </w:rPr>
        <w:t>天进行，符合全部入选标准且不符合排除标准的受试者方可参加试验。筛选需要完成的检查包括：</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生命体征</w:t>
      </w:r>
      <w:r>
        <w:rPr>
          <w:rFonts w:hint="eastAsia"/>
          <w:sz w:val="24"/>
          <w:szCs w:val="24"/>
        </w:rPr>
        <w:t>：</w:t>
      </w:r>
      <w:r>
        <w:rPr>
          <w:color w:val="000000"/>
          <w:sz w:val="24"/>
          <w:szCs w:val="21"/>
        </w:rPr>
        <w:t>体温、脉搏及</w:t>
      </w:r>
      <w:r>
        <w:rPr>
          <w:rFonts w:hint="eastAsia"/>
          <w:color w:val="000000"/>
          <w:sz w:val="24"/>
          <w:szCs w:val="21"/>
        </w:rPr>
        <w:t>坐位</w:t>
      </w:r>
      <w:r>
        <w:rPr>
          <w:color w:val="000000"/>
          <w:sz w:val="24"/>
          <w:szCs w:val="21"/>
        </w:rPr>
        <w:t>血压</w:t>
      </w:r>
      <w:r>
        <w:rPr>
          <w:sz w:val="24"/>
          <w:szCs w:val="24"/>
        </w:rPr>
        <w:t>；</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体格检查：包括皮肤</w:t>
      </w:r>
      <w:r>
        <w:rPr>
          <w:rFonts w:hint="eastAsia"/>
          <w:sz w:val="24"/>
          <w:szCs w:val="24"/>
        </w:rPr>
        <w:t>、</w:t>
      </w:r>
      <w:r>
        <w:rPr>
          <w:sz w:val="24"/>
          <w:szCs w:val="24"/>
        </w:rPr>
        <w:t>粘膜、淋巴结、</w:t>
      </w:r>
      <w:r>
        <w:rPr>
          <w:rFonts w:hint="eastAsia"/>
          <w:sz w:val="24"/>
          <w:szCs w:val="24"/>
        </w:rPr>
        <w:t>头部、</w:t>
      </w:r>
      <w:r>
        <w:rPr>
          <w:sz w:val="24"/>
          <w:szCs w:val="24"/>
        </w:rPr>
        <w:t>颈部、胸部、腹部、</w:t>
      </w:r>
      <w:r>
        <w:rPr>
          <w:rFonts w:hint="eastAsia"/>
          <w:sz w:val="24"/>
          <w:szCs w:val="24"/>
        </w:rPr>
        <w:t>脊柱/四肢</w:t>
      </w:r>
      <w:r>
        <w:rPr>
          <w:sz w:val="24"/>
          <w:szCs w:val="24"/>
        </w:rPr>
        <w:t>神经系统</w:t>
      </w:r>
      <w:r>
        <w:rPr>
          <w:rFonts w:hint="eastAsia"/>
          <w:sz w:val="24"/>
          <w:szCs w:val="24"/>
        </w:rPr>
        <w:t>、</w:t>
      </w:r>
      <w:r>
        <w:rPr>
          <w:sz w:val="24"/>
          <w:szCs w:val="24"/>
        </w:rPr>
        <w:t>及其他部位；</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身高、体重测量，并据此计算BMI；</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12-导联心电图；</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血常规检查（红细胞计数，白细胞计数，中性粒细胞绝对</w:t>
      </w:r>
      <w:r>
        <w:rPr>
          <w:rFonts w:hint="eastAsia"/>
          <w:sz w:val="24"/>
          <w:szCs w:val="24"/>
        </w:rPr>
        <w:t>值</w:t>
      </w:r>
      <w:r>
        <w:rPr>
          <w:sz w:val="24"/>
          <w:szCs w:val="24"/>
        </w:rPr>
        <w:t>，淋巴细胞绝对</w:t>
      </w:r>
      <w:r>
        <w:rPr>
          <w:rFonts w:hint="eastAsia"/>
          <w:sz w:val="24"/>
          <w:szCs w:val="24"/>
        </w:rPr>
        <w:t>值</w:t>
      </w:r>
      <w:r>
        <w:rPr>
          <w:sz w:val="24"/>
          <w:szCs w:val="24"/>
        </w:rPr>
        <w:t>，单核细胞绝对</w:t>
      </w:r>
      <w:r>
        <w:rPr>
          <w:rFonts w:hint="eastAsia"/>
          <w:sz w:val="24"/>
          <w:szCs w:val="24"/>
        </w:rPr>
        <w:t>值</w:t>
      </w:r>
      <w:r>
        <w:rPr>
          <w:sz w:val="24"/>
          <w:szCs w:val="24"/>
        </w:rPr>
        <w:t>，嗜酸性粒细胞绝对</w:t>
      </w:r>
      <w:r>
        <w:rPr>
          <w:rFonts w:hint="eastAsia"/>
          <w:sz w:val="24"/>
          <w:szCs w:val="24"/>
        </w:rPr>
        <w:t>值</w:t>
      </w:r>
      <w:r>
        <w:rPr>
          <w:sz w:val="24"/>
          <w:szCs w:val="24"/>
        </w:rPr>
        <w:t>，嗜碱性粒细胞绝对</w:t>
      </w:r>
      <w:r>
        <w:rPr>
          <w:rFonts w:hint="eastAsia"/>
          <w:sz w:val="24"/>
          <w:szCs w:val="24"/>
        </w:rPr>
        <w:t>值</w:t>
      </w:r>
      <w:r>
        <w:rPr>
          <w:sz w:val="24"/>
          <w:szCs w:val="24"/>
        </w:rPr>
        <w:t>，血红蛋白</w:t>
      </w:r>
      <w:r>
        <w:rPr>
          <w:rFonts w:hint="eastAsia"/>
          <w:sz w:val="24"/>
          <w:szCs w:val="24"/>
        </w:rPr>
        <w:t>浓度</w:t>
      </w:r>
      <w:r>
        <w:rPr>
          <w:sz w:val="24"/>
          <w:szCs w:val="24"/>
        </w:rPr>
        <w:t>，血小板</w:t>
      </w:r>
      <w:r>
        <w:rPr>
          <w:rFonts w:hint="eastAsia"/>
          <w:sz w:val="24"/>
          <w:szCs w:val="24"/>
        </w:rPr>
        <w:t>计数</w:t>
      </w:r>
      <w:r>
        <w:rPr>
          <w:sz w:val="24"/>
          <w:szCs w:val="24"/>
        </w:rPr>
        <w:t>。</w:t>
      </w:r>
      <w:r>
        <w:rPr>
          <w:rFonts w:hint="eastAsia"/>
          <w:sz w:val="24"/>
          <w:szCs w:val="24"/>
        </w:rPr>
        <w:t>）</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18"/>
          <w:szCs w:val="18"/>
        </w:rPr>
      </w:pPr>
      <w:r>
        <w:rPr>
          <w:sz w:val="24"/>
          <w:szCs w:val="24"/>
        </w:rPr>
        <w:t>尿常规检查（尿白细胞，尿比重，</w:t>
      </w:r>
      <w:r>
        <w:rPr>
          <w:rFonts w:hint="eastAsia"/>
          <w:sz w:val="24"/>
          <w:szCs w:val="24"/>
        </w:rPr>
        <w:t>酸碱度</w:t>
      </w:r>
      <w:r>
        <w:rPr>
          <w:sz w:val="24"/>
          <w:szCs w:val="24"/>
        </w:rPr>
        <w:t>，尿蛋白，</w:t>
      </w:r>
      <w:r>
        <w:rPr>
          <w:rFonts w:hint="eastAsia"/>
          <w:sz w:val="24"/>
          <w:szCs w:val="24"/>
        </w:rPr>
        <w:t>葡萄</w:t>
      </w:r>
      <w:r>
        <w:rPr>
          <w:sz w:val="24"/>
          <w:szCs w:val="24"/>
        </w:rPr>
        <w:t>糖，尿酮体，胆红素，尿胆原，潜血</w:t>
      </w:r>
      <w:r>
        <w:rPr>
          <w:rFonts w:hint="eastAsia"/>
          <w:sz w:val="24"/>
          <w:szCs w:val="24"/>
        </w:rPr>
        <w:t>，镜检白细胞，镜检红细胞。</w:t>
      </w:r>
      <w:r>
        <w:rPr>
          <w:sz w:val="24"/>
          <w:szCs w:val="24"/>
        </w:rPr>
        <w:t>）</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18"/>
          <w:szCs w:val="18"/>
        </w:rPr>
      </w:pPr>
      <w:r>
        <w:rPr>
          <w:sz w:val="24"/>
          <w:szCs w:val="24"/>
        </w:rPr>
        <w:t>血生化检查（白蛋白，总蛋白，总胆固醇，甘油三酯，尿素，肌酐，尿酸，总胆红素，直接胆红素，谷丙转氨酶，谷草转氨酶，</w:t>
      </w:r>
      <w:r>
        <w:rPr>
          <w:rFonts w:hint="eastAsia"/>
          <w:sz w:val="24"/>
          <w:szCs w:val="24"/>
        </w:rPr>
        <w:t>葡萄</w:t>
      </w:r>
      <w:r>
        <w:rPr>
          <w:sz w:val="24"/>
          <w:szCs w:val="24"/>
        </w:rPr>
        <w:t>糖，</w:t>
      </w:r>
      <w:r>
        <w:rPr>
          <w:color w:val="0000FF"/>
          <w:sz w:val="24"/>
          <w:szCs w:val="24"/>
        </w:rPr>
        <w:t>钠，钾</w:t>
      </w:r>
      <w:r>
        <w:rPr>
          <w:sz w:val="24"/>
          <w:szCs w:val="24"/>
        </w:rPr>
        <w:t>。）；</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18"/>
          <w:szCs w:val="18"/>
        </w:rPr>
      </w:pPr>
      <w:r>
        <w:rPr>
          <w:rFonts w:hint="eastAsia"/>
          <w:sz w:val="24"/>
          <w:szCs w:val="24"/>
        </w:rPr>
        <w:t>输血四项</w:t>
      </w:r>
      <w:r>
        <w:rPr>
          <w:sz w:val="24"/>
          <w:szCs w:val="24"/>
        </w:rPr>
        <w:t>：包括乙肝</w:t>
      </w:r>
      <w:r>
        <w:rPr>
          <w:rFonts w:hint="eastAsia"/>
          <w:sz w:val="24"/>
          <w:szCs w:val="24"/>
        </w:rPr>
        <w:t>病毒表面抗原</w:t>
      </w:r>
      <w:r>
        <w:rPr>
          <w:sz w:val="24"/>
          <w:szCs w:val="24"/>
        </w:rPr>
        <w:t>、</w:t>
      </w:r>
      <w:r>
        <w:rPr>
          <w:rFonts w:hint="eastAsia"/>
          <w:sz w:val="24"/>
          <w:szCs w:val="24"/>
        </w:rPr>
        <w:t>丙肝病毒</w:t>
      </w:r>
      <w:r>
        <w:rPr>
          <w:sz w:val="24"/>
          <w:szCs w:val="24"/>
        </w:rPr>
        <w:t>抗体、HIV抗体和梅毒螺旋体抗体</w:t>
      </w:r>
      <w:r>
        <w:rPr>
          <w:sz w:val="18"/>
          <w:szCs w:val="18"/>
        </w:rPr>
        <w:t>；</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sz w:val="24"/>
          <w:szCs w:val="24"/>
        </w:rPr>
        <w:t>妊娠检查(仅</w:t>
      </w:r>
      <w:r>
        <w:rPr>
          <w:rFonts w:hint="eastAsia"/>
          <w:sz w:val="24"/>
          <w:szCs w:val="24"/>
        </w:rPr>
        <w:t>育龄期</w:t>
      </w:r>
      <w:r>
        <w:rPr>
          <w:sz w:val="24"/>
          <w:szCs w:val="24"/>
        </w:rPr>
        <w:t>女性)：筛选</w:t>
      </w:r>
      <w:r>
        <w:rPr>
          <w:rFonts w:hint="eastAsia"/>
          <w:sz w:val="24"/>
          <w:szCs w:val="24"/>
        </w:rPr>
        <w:t>期，两周期入住</w:t>
      </w:r>
      <w:r>
        <w:rPr>
          <w:sz w:val="24"/>
          <w:szCs w:val="24"/>
        </w:rPr>
        <w:t>及出组时做血妊娠检查。</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rFonts w:hint="eastAsia"/>
          <w:sz w:val="24"/>
          <w:szCs w:val="24"/>
          <w:lang w:val="en-US" w:eastAsia="zh-CN"/>
        </w:rPr>
        <w:t>药物滥用</w:t>
      </w:r>
      <w:r>
        <w:rPr>
          <w:rFonts w:hint="eastAsia"/>
          <w:sz w:val="24"/>
          <w:szCs w:val="24"/>
        </w:rPr>
        <w:t>筛查（-1天检查）；</w:t>
      </w:r>
    </w:p>
    <w:p>
      <w:pPr>
        <w:pStyle w:val="96"/>
        <w:widowControl w:val="0"/>
        <w:numPr>
          <w:ilvl w:val="0"/>
          <w:numId w:val="16"/>
        </w:numPr>
        <w:tabs>
          <w:tab w:val="left" w:pos="993"/>
        </w:tabs>
        <w:autoSpaceDE w:val="0"/>
        <w:autoSpaceDN w:val="0"/>
        <w:adjustRightInd w:val="0"/>
        <w:ind w:left="993" w:hanging="511" w:firstLineChars="0"/>
        <w:contextualSpacing/>
        <w:textAlignment w:val="bottom"/>
        <w:rPr>
          <w:sz w:val="24"/>
          <w:szCs w:val="24"/>
        </w:rPr>
      </w:pPr>
      <w:r>
        <w:rPr>
          <w:rFonts w:hint="eastAsia"/>
          <w:sz w:val="24"/>
          <w:szCs w:val="24"/>
        </w:rPr>
        <w:t>酒精</w:t>
      </w:r>
      <w:r>
        <w:rPr>
          <w:rFonts w:hint="eastAsia"/>
          <w:sz w:val="24"/>
          <w:szCs w:val="24"/>
          <w:lang w:val="en-US" w:eastAsia="zh-CN"/>
        </w:rPr>
        <w:t>呼气检测</w:t>
      </w:r>
      <w:r>
        <w:rPr>
          <w:rFonts w:hint="eastAsia"/>
          <w:sz w:val="24"/>
          <w:szCs w:val="24"/>
        </w:rPr>
        <w:t>（-1天检查）。</w:t>
      </w:r>
    </w:p>
    <w:p>
      <w:pPr>
        <w:pStyle w:val="3"/>
        <w:numPr>
          <w:ilvl w:val="3"/>
          <w:numId w:val="15"/>
        </w:numPr>
        <w:autoSpaceDE w:val="0"/>
        <w:autoSpaceDN w:val="0"/>
        <w:adjustRightInd w:val="0"/>
        <w:ind w:left="1077" w:hanging="1077"/>
        <w:contextualSpacing/>
        <w:outlineLvl w:val="3"/>
        <w:rPr>
          <w:rFonts w:ascii="Times New Roman" w:hAnsi="Times New Roman" w:eastAsia="宋体" w:cs="Times New Roman"/>
          <w:b/>
          <w:bCs/>
          <w:color w:val="auto"/>
          <w:sz w:val="24"/>
          <w:szCs w:val="24"/>
          <w:lang w:val="zh-TW" w:eastAsia="zh-TW"/>
        </w:rPr>
      </w:pPr>
      <w:bookmarkStart w:id="135" w:name="_Toc446673710"/>
      <w:bookmarkStart w:id="136" w:name="_Toc449281999"/>
      <w:bookmarkStart w:id="137" w:name="_Toc523500657"/>
      <w:bookmarkStart w:id="138" w:name="_Toc17356"/>
      <w:bookmarkStart w:id="139" w:name="_Toc5563"/>
      <w:bookmarkStart w:id="140" w:name="_Toc16863"/>
      <w:r>
        <w:rPr>
          <w:rFonts w:ascii="Times New Roman" w:hAnsi="Times New Roman" w:eastAsia="宋体" w:cs="Times New Roman"/>
          <w:b/>
          <w:bCs/>
          <w:color w:val="auto"/>
          <w:sz w:val="24"/>
          <w:szCs w:val="24"/>
          <w:lang w:val="zh-TW" w:eastAsia="zh-TW"/>
        </w:rPr>
        <w:t>住院观察期访视</w:t>
      </w:r>
      <w:bookmarkEnd w:id="135"/>
      <w:bookmarkEnd w:id="136"/>
      <w:r>
        <w:rPr>
          <w:rFonts w:hint="eastAsia" w:ascii="Times New Roman" w:hAnsi="Times New Roman" w:eastAsia="宋体" w:cs="Times New Roman"/>
          <w:b/>
          <w:bCs/>
          <w:color w:val="auto"/>
          <w:sz w:val="24"/>
          <w:szCs w:val="24"/>
          <w:lang w:val="zh-TW"/>
        </w:rPr>
        <w:t>（第-1~3天，第7~10天）</w:t>
      </w:r>
      <w:bookmarkEnd w:id="137"/>
      <w:bookmarkEnd w:id="138"/>
      <w:bookmarkEnd w:id="139"/>
      <w:bookmarkEnd w:id="140"/>
    </w:p>
    <w:p>
      <w:pPr>
        <w:pStyle w:val="50"/>
        <w:autoSpaceDE w:val="0"/>
        <w:autoSpaceDN w:val="0"/>
        <w:adjustRightInd w:val="0"/>
        <w:ind w:left="0" w:firstLine="0"/>
        <w:contextualSpacing/>
        <w:rPr>
          <w:rFonts w:eastAsia="宋体"/>
          <w:color w:val="auto"/>
          <w:lang w:val="zh-TW" w:eastAsia="zh-TW"/>
        </w:rPr>
      </w:pPr>
      <w:r>
        <w:rPr>
          <w:rFonts w:eastAsia="宋体"/>
          <w:color w:val="auto"/>
          <w:lang w:val="zh-TW" w:eastAsia="zh-TW"/>
        </w:rPr>
        <w:t>（1）第</w:t>
      </w:r>
      <w:r>
        <w:rPr>
          <w:rFonts w:eastAsia="宋体"/>
          <w:color w:val="auto"/>
        </w:rPr>
        <w:t>-1</w:t>
      </w:r>
      <w:r>
        <w:rPr>
          <w:rFonts w:eastAsia="宋体"/>
          <w:color w:val="auto"/>
          <w:lang w:val="zh-TW" w:eastAsia="zh-TW"/>
        </w:rPr>
        <w:t>天（第一周期）</w:t>
      </w:r>
    </w:p>
    <w:p>
      <w:pPr>
        <w:pStyle w:val="50"/>
        <w:autoSpaceDE w:val="0"/>
        <w:autoSpaceDN w:val="0"/>
        <w:adjustRightInd w:val="0"/>
        <w:ind w:left="0" w:firstLine="480" w:firstLineChars="200"/>
        <w:contextualSpacing/>
        <w:rPr>
          <w:rFonts w:eastAsia="宋体"/>
          <w:color w:val="000000" w:themeColor="text1"/>
          <w:lang w:val="zh-TW"/>
          <w14:textFill>
            <w14:solidFill>
              <w14:schemeClr w14:val="tx1"/>
            </w14:solidFill>
          </w14:textFill>
        </w:rPr>
      </w:pPr>
      <w:r>
        <w:rPr>
          <w:rFonts w:eastAsia="宋体"/>
          <w:color w:val="000000" w:themeColor="text1"/>
          <w:lang w:val="zh-TW" w:eastAsia="zh-TW"/>
          <w14:textFill>
            <w14:solidFill>
              <w14:schemeClr w14:val="tx1"/>
            </w14:solidFill>
          </w14:textFill>
        </w:rPr>
        <w:t>要求筛选合格受试者于第</w:t>
      </w:r>
      <w:r>
        <w:rPr>
          <w:rFonts w:eastAsia="宋体"/>
          <w:color w:val="000000" w:themeColor="text1"/>
          <w14:textFill>
            <w14:solidFill>
              <w14:schemeClr w14:val="tx1"/>
            </w14:solidFill>
          </w14:textFill>
        </w:rPr>
        <w:t>-1</w:t>
      </w:r>
      <w:r>
        <w:rPr>
          <w:rFonts w:eastAsia="宋体"/>
          <w:color w:val="000000" w:themeColor="text1"/>
          <w:lang w:val="zh-TW" w:eastAsia="zh-TW"/>
          <w14:textFill>
            <w14:solidFill>
              <w14:schemeClr w14:val="tx1"/>
            </w14:solidFill>
          </w14:textFill>
        </w:rPr>
        <w:t>天(即给药前</w:t>
      </w:r>
      <w:r>
        <w:rPr>
          <w:rFonts w:eastAsia="宋体"/>
          <w:color w:val="000000" w:themeColor="text1"/>
          <w:lang w:val="zh-TW"/>
          <w14:textFill>
            <w14:solidFill>
              <w14:schemeClr w14:val="tx1"/>
            </w14:solidFill>
          </w14:textFill>
        </w:rPr>
        <w:t>1</w:t>
      </w:r>
      <w:r>
        <w:rPr>
          <w:rFonts w:eastAsia="宋体"/>
          <w:color w:val="000000" w:themeColor="text1"/>
          <w:lang w:val="zh-TW" w:eastAsia="zh-TW"/>
          <w14:textFill>
            <w14:solidFill>
              <w14:schemeClr w14:val="tx1"/>
            </w14:solidFill>
          </w14:textFill>
        </w:rPr>
        <w:t>天)到达试验中心。研究者将对受试者进行生命体征、</w:t>
      </w:r>
      <w:r>
        <w:rPr>
          <w:rFonts w:hint="eastAsia" w:eastAsia="宋体"/>
          <w:color w:val="000000" w:themeColor="text1"/>
          <w:lang w:val="zh-TW"/>
          <w14:textFill>
            <w14:solidFill>
              <w14:schemeClr w14:val="tx1"/>
            </w14:solidFill>
          </w14:textFill>
        </w:rPr>
        <w:t>血</w:t>
      </w:r>
      <w:r>
        <w:rPr>
          <w:rFonts w:eastAsia="宋体"/>
          <w:color w:val="000000" w:themeColor="text1"/>
          <w:lang w:val="zh-TW" w:eastAsia="zh-TW"/>
          <w14:textFill>
            <w14:solidFill>
              <w14:schemeClr w14:val="tx1"/>
            </w14:solidFill>
          </w14:textFill>
        </w:rPr>
        <w:t>妊娠检查(仅育龄期女</w:t>
      </w:r>
      <w:r>
        <w:rPr>
          <w:rFonts w:eastAsia="宋体"/>
          <w:color w:val="000000" w:themeColor="text1"/>
          <w:lang w:val="zh-TW"/>
          <w14:textFill>
            <w14:solidFill>
              <w14:schemeClr w14:val="tx1"/>
            </w14:solidFill>
          </w14:textFill>
        </w:rPr>
        <w:t>性</w:t>
      </w:r>
      <w:r>
        <w:rPr>
          <w:rFonts w:eastAsia="宋体"/>
          <w:color w:val="000000" w:themeColor="text1"/>
          <w:lang w:val="zh-TW" w:eastAsia="zh-TW"/>
          <w14:textFill>
            <w14:solidFill>
              <w14:schemeClr w14:val="tx1"/>
            </w14:solidFill>
          </w14:textFill>
        </w:rPr>
        <w:t>)、酒精</w:t>
      </w:r>
      <w:r>
        <w:rPr>
          <w:rFonts w:hint="eastAsia" w:eastAsia="宋体"/>
          <w:color w:val="000000" w:themeColor="text1"/>
          <w:lang w:val="en-US" w:eastAsia="zh-CN"/>
          <w14:textFill>
            <w14:solidFill>
              <w14:schemeClr w14:val="tx1"/>
            </w14:solidFill>
          </w14:textFill>
        </w:rPr>
        <w:t>呼气检测</w:t>
      </w:r>
      <w:r>
        <w:rPr>
          <w:rFonts w:hint="eastAsia" w:eastAsia="宋体"/>
          <w:color w:val="000000" w:themeColor="text1"/>
          <w:lang w:val="zh-TW"/>
          <w14:textFill>
            <w14:solidFill>
              <w14:schemeClr w14:val="tx1"/>
            </w14:solidFill>
          </w14:textFill>
        </w:rPr>
        <w:t>和</w:t>
      </w:r>
      <w:r>
        <w:rPr>
          <w:rFonts w:hint="eastAsia" w:eastAsia="宋体"/>
          <w:color w:val="000000" w:themeColor="text1"/>
          <w:lang w:val="zh-TW" w:eastAsia="zh-CN"/>
          <w14:textFill>
            <w14:solidFill>
              <w14:schemeClr w14:val="tx1"/>
            </w14:solidFill>
          </w14:textFill>
        </w:rPr>
        <w:t>药物滥用筛查</w:t>
      </w:r>
      <w:r>
        <w:rPr>
          <w:rFonts w:eastAsia="宋体"/>
          <w:color w:val="000000" w:themeColor="text1"/>
          <w:lang w:val="zh-TW" w:eastAsia="zh-TW"/>
          <w14:textFill>
            <w14:solidFill>
              <w14:schemeClr w14:val="tx1"/>
            </w14:solidFill>
          </w14:textFill>
        </w:rPr>
        <w:t>。依据筛选检查的所有结果以及</w:t>
      </w:r>
      <w:r>
        <w:rPr>
          <w:rFonts w:eastAsia="宋体"/>
          <w:color w:val="000000" w:themeColor="text1"/>
          <w:lang w:val="zh-TW"/>
          <w14:textFill>
            <w14:solidFill>
              <w14:schemeClr w14:val="tx1"/>
            </w14:solidFill>
          </w14:textFill>
        </w:rPr>
        <w:t>第-1天</w:t>
      </w:r>
      <w:r>
        <w:rPr>
          <w:rFonts w:eastAsia="宋体"/>
          <w:color w:val="000000" w:themeColor="text1"/>
          <w:lang w:val="zh-TW" w:eastAsia="zh-TW"/>
          <w14:textFill>
            <w14:solidFill>
              <w14:schemeClr w14:val="tx1"/>
            </w14:solidFill>
          </w14:textFill>
        </w:rPr>
        <w:t>的可用结果，研究者将判断受试者的入选资格。受试者分配随机号。同时观察和记录不良事件、合并用药和非药物治疗。</w:t>
      </w:r>
      <w:bookmarkStart w:id="141" w:name="_Hlk509150768"/>
      <w:r>
        <w:rPr>
          <w:rFonts w:hint="eastAsia" w:eastAsia="宋体"/>
          <w:color w:val="000000" w:themeColor="text1"/>
          <w:lang w:val="zh-TW" w:eastAsia="zh-TW"/>
          <w14:textFill>
            <w14:solidFill>
              <w14:schemeClr w14:val="tx1"/>
            </w14:solidFill>
          </w14:textFill>
        </w:rPr>
        <w:t>空腹过夜禁食10h以上，但不禁水。</w:t>
      </w:r>
      <w:bookmarkEnd w:id="141"/>
    </w:p>
    <w:p>
      <w:pPr>
        <w:pStyle w:val="50"/>
        <w:autoSpaceDE w:val="0"/>
        <w:autoSpaceDN w:val="0"/>
        <w:adjustRightInd w:val="0"/>
        <w:ind w:left="0" w:firstLine="0"/>
        <w:contextualSpacing/>
        <w:rPr>
          <w:rFonts w:eastAsia="宋体"/>
          <w:color w:val="auto"/>
          <w:lang w:val="zh-TW" w:eastAsia="zh-TW"/>
        </w:rPr>
      </w:pPr>
      <w:r>
        <w:rPr>
          <w:rFonts w:eastAsia="宋体"/>
          <w:color w:val="auto"/>
          <w:lang w:val="zh-TW" w:eastAsia="zh-TW"/>
        </w:rPr>
        <w:t>（2）第1天（第一周期）</w:t>
      </w:r>
    </w:p>
    <w:p>
      <w:pPr>
        <w:pStyle w:val="50"/>
        <w:autoSpaceDE w:val="0"/>
        <w:autoSpaceDN w:val="0"/>
        <w:adjustRightInd w:val="0"/>
        <w:ind w:left="0" w:firstLine="480" w:firstLineChars="200"/>
        <w:contextualSpacing/>
        <w:rPr>
          <w:rFonts w:eastAsia="宋体"/>
          <w:color w:val="auto"/>
          <w:lang w:val="zh-TW" w:eastAsia="zh-TW"/>
        </w:rPr>
      </w:pPr>
      <w:r>
        <w:rPr>
          <w:rFonts w:eastAsia="宋体"/>
          <w:color w:val="000000" w:themeColor="text1"/>
          <w:lang w:val="zh-TW" w:eastAsia="zh-TW"/>
          <w14:textFill>
            <w14:solidFill>
              <w14:schemeClr w14:val="tx1"/>
            </w14:solidFill>
          </w14:textFill>
        </w:rPr>
        <w:t>空腹过夜至少10个</w:t>
      </w:r>
      <w:r>
        <w:rPr>
          <w:rFonts w:eastAsia="宋体"/>
          <w:color w:val="000000" w:themeColor="text1"/>
          <w:lang w:val="zh-TW"/>
          <w14:textFill>
            <w14:solidFill>
              <w14:schemeClr w14:val="tx1"/>
            </w14:solidFill>
          </w14:textFill>
        </w:rPr>
        <w:t>小时</w:t>
      </w:r>
      <w:r>
        <w:rPr>
          <w:rFonts w:eastAsia="宋体"/>
          <w:color w:val="000000" w:themeColor="text1"/>
          <w:lang w:val="zh-TW" w:eastAsia="zh-TW"/>
          <w14:textFill>
            <w14:solidFill>
              <w14:schemeClr w14:val="tx1"/>
            </w14:solidFill>
          </w14:textFill>
        </w:rPr>
        <w:t>后，受试者按</w:t>
      </w:r>
      <w:r>
        <w:rPr>
          <w:rFonts w:hint="eastAsia" w:eastAsia="宋体"/>
          <w:color w:val="000000" w:themeColor="text1"/>
          <w14:textFill>
            <w14:solidFill>
              <w14:schemeClr w14:val="tx1"/>
            </w14:solidFill>
          </w14:textFill>
        </w:rPr>
        <w:t>随机号对应的给药序列服药</w:t>
      </w:r>
      <w:r>
        <w:rPr>
          <w:rFonts w:eastAsia="宋体"/>
          <w:color w:val="auto"/>
          <w:lang w:val="zh-TW" w:eastAsia="zh-TW"/>
        </w:rPr>
        <w:t>。空腹</w:t>
      </w:r>
      <w:r>
        <w:rPr>
          <w:rFonts w:eastAsia="宋体"/>
          <w:color w:val="auto"/>
          <w:lang w:val="zh-TW"/>
        </w:rPr>
        <w:t>生物等效性</w:t>
      </w:r>
      <w:r>
        <w:rPr>
          <w:rFonts w:hint="eastAsia" w:eastAsia="宋体"/>
          <w:color w:val="auto"/>
          <w:lang w:val="zh-TW"/>
        </w:rPr>
        <w:t>试验</w:t>
      </w:r>
      <w:r>
        <w:rPr>
          <w:rFonts w:eastAsia="宋体"/>
          <w:color w:val="auto"/>
          <w:lang w:val="zh-TW"/>
        </w:rPr>
        <w:t>中，</w:t>
      </w:r>
      <w:r>
        <w:rPr>
          <w:rFonts w:eastAsia="宋体"/>
          <w:color w:val="auto"/>
          <w:lang w:val="zh-TW" w:eastAsia="zh-TW"/>
        </w:rPr>
        <w:t>受试者</w:t>
      </w:r>
      <w:r>
        <w:rPr>
          <w:rFonts w:hint="eastAsia" w:eastAsia="宋体"/>
          <w:color w:val="auto"/>
        </w:rPr>
        <w:t>在空腹状态下，用240ml温水送服研究药物</w:t>
      </w:r>
      <w:r>
        <w:rPr>
          <w:rFonts w:eastAsia="宋体"/>
          <w:color w:val="auto"/>
          <w:lang w:val="zh-TW" w:eastAsia="zh-TW"/>
        </w:rPr>
        <w:t>；</w:t>
      </w:r>
      <w:r>
        <w:rPr>
          <w:rFonts w:eastAsia="宋体"/>
          <w:color w:val="auto"/>
          <w:lang w:val="zh-TW"/>
        </w:rPr>
        <w:t>高脂</w:t>
      </w:r>
      <w:r>
        <w:rPr>
          <w:rFonts w:eastAsia="宋体"/>
          <w:color w:val="auto"/>
          <w:lang w:val="zh-TW" w:eastAsia="zh-TW"/>
        </w:rPr>
        <w:t>餐后</w:t>
      </w:r>
      <w:r>
        <w:rPr>
          <w:rFonts w:eastAsia="宋体"/>
          <w:color w:val="auto"/>
          <w:lang w:val="zh-TW"/>
        </w:rPr>
        <w:t>生物等效性</w:t>
      </w:r>
      <w:r>
        <w:rPr>
          <w:rFonts w:hint="eastAsia" w:eastAsia="宋体"/>
          <w:color w:val="auto"/>
          <w:lang w:val="zh-TW"/>
        </w:rPr>
        <w:t>试验</w:t>
      </w:r>
      <w:r>
        <w:rPr>
          <w:rFonts w:eastAsia="宋体"/>
          <w:color w:val="auto"/>
          <w:lang w:val="zh-TW"/>
        </w:rPr>
        <w:t>中，受试者需要</w:t>
      </w:r>
      <w:r>
        <w:rPr>
          <w:rFonts w:eastAsia="宋体"/>
          <w:color w:val="auto"/>
          <w:lang w:val="zh-TW" w:eastAsia="zh-TW"/>
        </w:rPr>
        <w:t>在服</w:t>
      </w:r>
      <w:r>
        <w:rPr>
          <w:rFonts w:eastAsia="宋体"/>
          <w:color w:val="auto"/>
          <w:lang w:val="zh-TW"/>
        </w:rPr>
        <w:t>用研究药物</w:t>
      </w:r>
      <w:r>
        <w:rPr>
          <w:rFonts w:eastAsia="宋体"/>
          <w:color w:val="auto"/>
          <w:lang w:val="zh-TW" w:eastAsia="zh-TW"/>
        </w:rPr>
        <w:t>前30min</w:t>
      </w:r>
      <w:r>
        <w:rPr>
          <w:rFonts w:hint="eastAsia" w:eastAsia="宋体"/>
          <w:color w:val="auto"/>
          <w:lang w:val="zh-TW"/>
        </w:rPr>
        <w:t>开始</w:t>
      </w:r>
      <w:r>
        <w:rPr>
          <w:rFonts w:eastAsia="宋体"/>
          <w:color w:val="auto"/>
          <w:lang w:val="zh-TW" w:eastAsia="zh-TW"/>
        </w:rPr>
        <w:t>进食高脂餐，控制进餐速度，</w:t>
      </w:r>
      <w:r>
        <w:rPr>
          <w:rFonts w:eastAsia="宋体"/>
          <w:color w:val="auto"/>
          <w:lang w:val="zh-TW"/>
        </w:rPr>
        <w:t>高脂</w:t>
      </w:r>
      <w:r>
        <w:rPr>
          <w:rFonts w:eastAsia="宋体"/>
          <w:color w:val="auto"/>
          <w:lang w:val="zh-TW" w:eastAsia="zh-TW"/>
        </w:rPr>
        <w:t>餐</w:t>
      </w:r>
      <w:r>
        <w:rPr>
          <w:rFonts w:eastAsia="宋体"/>
          <w:color w:val="auto"/>
          <w:lang w:val="zh-TW"/>
        </w:rPr>
        <w:t>要</w:t>
      </w:r>
      <w:r>
        <w:rPr>
          <w:rFonts w:eastAsia="宋体"/>
          <w:color w:val="auto"/>
          <w:lang w:val="zh-TW" w:eastAsia="zh-TW"/>
        </w:rPr>
        <w:t>在进餐开始后30min内吃完，</w:t>
      </w:r>
      <w:r>
        <w:rPr>
          <w:rFonts w:eastAsia="宋体"/>
          <w:color w:val="auto"/>
          <w:lang w:val="zh-TW"/>
        </w:rPr>
        <w:t>研究</w:t>
      </w:r>
      <w:r>
        <w:rPr>
          <w:rFonts w:eastAsia="宋体"/>
          <w:color w:val="auto"/>
          <w:lang w:val="zh-TW" w:eastAsia="zh-TW"/>
        </w:rPr>
        <w:t>药物要在进餐后且以开始进餐时间计</w:t>
      </w:r>
      <w:r>
        <w:rPr>
          <w:rFonts w:eastAsia="宋体"/>
          <w:color w:val="auto"/>
          <w:lang w:val="zh-TW"/>
        </w:rPr>
        <w:t>时</w:t>
      </w:r>
      <w:r>
        <w:rPr>
          <w:rFonts w:eastAsia="宋体"/>
          <w:color w:val="auto"/>
          <w:lang w:val="zh-TW" w:eastAsia="zh-TW"/>
        </w:rPr>
        <w:t>的30</w:t>
      </w:r>
      <w:r>
        <w:rPr>
          <w:rFonts w:eastAsia="宋体"/>
          <w:color w:val="000000" w:themeColor="text1"/>
          <w:lang w:val="zh-TW"/>
          <w14:textFill>
            <w14:solidFill>
              <w14:schemeClr w14:val="tx1"/>
            </w14:solidFill>
          </w14:textFill>
        </w:rPr>
        <w:t>±0.5min</w:t>
      </w:r>
      <w:r>
        <w:rPr>
          <w:rFonts w:hint="eastAsia" w:eastAsia="宋体"/>
          <w:color w:val="000000" w:themeColor="text1"/>
          <w:lang w:val="zh-TW"/>
          <w14:textFill>
            <w14:solidFill>
              <w14:schemeClr w14:val="tx1"/>
            </w14:solidFill>
          </w14:textFill>
        </w:rPr>
        <w:t>内</w:t>
      </w:r>
      <w:r>
        <w:rPr>
          <w:rFonts w:hint="eastAsia" w:eastAsia="宋体"/>
          <w:color w:val="auto"/>
        </w:rPr>
        <w:t>用</w:t>
      </w:r>
      <w:r>
        <w:rPr>
          <w:rFonts w:eastAsia="宋体"/>
          <w:color w:val="auto"/>
          <w:lang w:val="zh-TW" w:eastAsia="zh-TW"/>
        </w:rPr>
        <w:t>240ml</w:t>
      </w:r>
      <w:r>
        <w:rPr>
          <w:rFonts w:hint="eastAsia" w:eastAsia="宋体"/>
          <w:color w:val="auto"/>
          <w:lang w:val="zh-TW"/>
        </w:rPr>
        <w:t>温水</w:t>
      </w:r>
      <w:r>
        <w:rPr>
          <w:rFonts w:eastAsia="宋体"/>
          <w:color w:val="auto"/>
          <w:lang w:val="zh-TW" w:eastAsia="zh-TW"/>
        </w:rPr>
        <w:t>送服。</w:t>
      </w:r>
      <w:r>
        <w:rPr>
          <w:rFonts w:eastAsia="宋体"/>
          <w:color w:val="000000" w:themeColor="text1"/>
          <w:lang w:val="zh-TW"/>
          <w14:textFill>
            <w14:solidFill>
              <w14:schemeClr w14:val="tx1"/>
            </w14:solidFill>
          </w14:textFill>
        </w:rPr>
        <w:t>服药后受试者需禁食</w:t>
      </w:r>
      <w:r>
        <w:rPr>
          <w:rFonts w:eastAsia="宋体"/>
          <w:color w:val="000000" w:themeColor="text1"/>
          <w:lang w:val="zh-TW" w:eastAsia="zh-TW"/>
          <w14:textFill>
            <w14:solidFill>
              <w14:schemeClr w14:val="tx1"/>
            </w14:solidFill>
          </w14:textFill>
        </w:rPr>
        <w:t>4</w:t>
      </w:r>
      <w:r>
        <w:rPr>
          <w:rFonts w:eastAsia="宋体"/>
          <w:color w:val="000000" w:themeColor="text1"/>
          <w:lang w:val="zh-TW"/>
          <w14:textFill>
            <w14:solidFill>
              <w14:schemeClr w14:val="tx1"/>
            </w14:solidFill>
          </w14:textFill>
        </w:rPr>
        <w:t>h，</w:t>
      </w:r>
      <w:bookmarkStart w:id="142" w:name="_Hlk508884707"/>
      <w:r>
        <w:rPr>
          <w:rFonts w:hint="eastAsia" w:eastAsia="宋体"/>
          <w:color w:val="000000" w:themeColor="text1"/>
          <w:lang w:val="zh-TW"/>
          <w14:textFill>
            <w14:solidFill>
              <w14:schemeClr w14:val="tx1"/>
            </w14:solidFill>
          </w14:textFill>
        </w:rPr>
        <w:t>服药4小时和10小时后进食统一标准餐</w:t>
      </w:r>
      <w:r>
        <w:rPr>
          <w:rFonts w:eastAsia="宋体"/>
          <w:color w:val="000000" w:themeColor="text1"/>
          <w:lang w:val="zh-TW"/>
          <w14:textFill>
            <w14:solidFill>
              <w14:schemeClr w14:val="tx1"/>
            </w14:solidFill>
          </w14:textFill>
        </w:rPr>
        <w:t>，</w:t>
      </w:r>
      <w:r>
        <w:rPr>
          <w:rFonts w:hint="eastAsia" w:eastAsia="宋体"/>
          <w:color w:val="000000" w:themeColor="text1"/>
          <w:lang w:val="zh-TW"/>
          <w14:textFill>
            <w14:solidFill>
              <w14:schemeClr w14:val="tx1"/>
            </w14:solidFill>
          </w14:textFill>
        </w:rPr>
        <w:t>试验期间需统一饮食</w:t>
      </w:r>
      <w:bookmarkEnd w:id="142"/>
      <w:r>
        <w:rPr>
          <w:rFonts w:eastAsia="宋体"/>
          <w:color w:val="auto"/>
          <w:lang w:val="zh-TW"/>
        </w:rPr>
        <w:t>，服药前1h及服药后1h受试者禁止饮水（服药</w:t>
      </w:r>
      <w:r>
        <w:rPr>
          <w:rFonts w:hint="eastAsia" w:eastAsia="宋体"/>
          <w:color w:val="auto"/>
        </w:rPr>
        <w:t>饮</w:t>
      </w:r>
      <w:r>
        <w:rPr>
          <w:rFonts w:eastAsia="宋体"/>
          <w:color w:val="auto"/>
          <w:lang w:val="zh-TW"/>
        </w:rPr>
        <w:t>水</w:t>
      </w:r>
      <w:r>
        <w:rPr>
          <w:rFonts w:hint="eastAsia" w:eastAsia="宋体"/>
          <w:color w:val="auto"/>
          <w:lang w:val="zh-TW"/>
        </w:rPr>
        <w:t>、高脂餐饮用液体食物</w:t>
      </w:r>
      <w:r>
        <w:rPr>
          <w:rFonts w:eastAsia="宋体"/>
          <w:color w:val="auto"/>
          <w:lang w:val="zh-TW"/>
        </w:rPr>
        <w:t>除外）。</w:t>
      </w:r>
      <w:r>
        <w:rPr>
          <w:rFonts w:eastAsia="宋体"/>
          <w:color w:val="auto"/>
          <w:lang w:val="zh-TW" w:eastAsia="zh-TW"/>
        </w:rPr>
        <w:t>具体需要完成项目如下具体需要完成项目如下：</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研究药物清点、核对及发放；</w:t>
      </w:r>
    </w:p>
    <w:p>
      <w:pPr>
        <w:pStyle w:val="109"/>
        <w:numPr>
          <w:ilvl w:val="0"/>
          <w:numId w:val="17"/>
        </w:numPr>
        <w:tabs>
          <w:tab w:val="left" w:pos="1134"/>
        </w:tabs>
        <w:autoSpaceDE w:val="0"/>
        <w:autoSpaceDN w:val="0"/>
        <w:adjustRightInd w:val="0"/>
        <w:ind w:left="1100"/>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放置留置</w:t>
      </w:r>
      <w:r>
        <w:rPr>
          <w:rFonts w:hint="eastAsia" w:ascii="Times New Roman" w:hAnsi="Times New Roman" w:eastAsia="宋体" w:cs="Times New Roman"/>
          <w:color w:val="auto"/>
          <w:sz w:val="24"/>
          <w:szCs w:val="24"/>
        </w:rPr>
        <w:t>针</w:t>
      </w:r>
      <w:r>
        <w:rPr>
          <w:rFonts w:ascii="Times New Roman" w:hAnsi="Times New Roman" w:eastAsia="宋体" w:cs="Times New Roman"/>
          <w:color w:val="auto"/>
          <w:sz w:val="24"/>
          <w:szCs w:val="24"/>
          <w:lang w:eastAsia="zh-TW"/>
        </w:rPr>
        <w:t>，</w:t>
      </w:r>
      <w:r>
        <w:rPr>
          <w:rFonts w:hint="eastAsia" w:ascii="Times New Roman" w:hAnsi="Times New Roman" w:eastAsia="宋体" w:cs="Times New Roman"/>
          <w:color w:val="auto"/>
          <w:sz w:val="24"/>
          <w:szCs w:val="24"/>
          <w:lang w:eastAsia="zh-TW"/>
        </w:rPr>
        <w:t>生理盐水</w:t>
      </w:r>
      <w:r>
        <w:rPr>
          <w:rFonts w:ascii="Times New Roman" w:hAnsi="Times New Roman" w:eastAsia="宋体" w:cs="Times New Roman"/>
          <w:color w:val="auto"/>
          <w:sz w:val="24"/>
          <w:szCs w:val="24"/>
          <w:lang w:eastAsia="zh-TW"/>
        </w:rPr>
        <w:t>溶液封管</w:t>
      </w:r>
      <w:r>
        <w:rPr>
          <w:rFonts w:hint="eastAsia" w:ascii="Times New Roman" w:hAnsi="Times New Roman" w:eastAsia="宋体" w:cs="Times New Roman"/>
          <w:color w:val="auto"/>
          <w:sz w:val="24"/>
          <w:szCs w:val="24"/>
        </w:rPr>
        <w:t>，但整个试验保持统一</w:t>
      </w:r>
      <w:r>
        <w:rPr>
          <w:rFonts w:ascii="Times New Roman" w:hAnsi="Times New Roman" w:eastAsia="宋体" w:cs="Times New Roman"/>
          <w:color w:val="auto"/>
          <w:sz w:val="24"/>
          <w:szCs w:val="24"/>
          <w:lang w:eastAsia="zh-TW"/>
        </w:rPr>
        <w:t>；</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给药；</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空腹试验</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按照设计时间点采集PK样本</w:t>
      </w:r>
      <w:r>
        <w:rPr>
          <w:rFonts w:hint="eastAsia" w:ascii="Times New Roman" w:hAnsi="Times New Roman" w:eastAsia="宋体" w:cs="Times New Roman"/>
          <w:color w:val="auto"/>
          <w:sz w:val="24"/>
          <w:szCs w:val="24"/>
        </w:rPr>
        <w:t>：服</w:t>
      </w:r>
      <w:r>
        <w:rPr>
          <w:rFonts w:ascii="Times New Roman" w:hAnsi="Times New Roman" w:eastAsia="宋体" w:cs="Times New Roman"/>
          <w:color w:val="auto"/>
          <w:sz w:val="24"/>
          <w:szCs w:val="24"/>
          <w:lang w:eastAsia="zh-TW"/>
        </w:rPr>
        <w:t>药前0h（服药前1h内）和</w:t>
      </w:r>
      <w:r>
        <w:rPr>
          <w:rFonts w:hint="eastAsia" w:ascii="Times New Roman" w:hAnsi="Times New Roman" w:eastAsia="宋体" w:cs="Times New Roman"/>
          <w:color w:val="auto"/>
          <w:sz w:val="24"/>
          <w:szCs w:val="24"/>
        </w:rPr>
        <w:t>服</w:t>
      </w:r>
      <w:r>
        <w:rPr>
          <w:rFonts w:ascii="Times New Roman" w:hAnsi="Times New Roman" w:eastAsia="宋体" w:cs="Times New Roman"/>
          <w:color w:val="auto"/>
          <w:sz w:val="24"/>
          <w:szCs w:val="24"/>
          <w:lang w:eastAsia="zh-TW"/>
        </w:rPr>
        <w:t>药后</w:t>
      </w:r>
      <w:r>
        <w:rPr>
          <w:rFonts w:ascii="Times New Roman" w:hAnsi="Times New Roman" w:eastAsia="宋体" w:cs="Times New Roman"/>
          <w:color w:val="auto"/>
          <w:sz w:val="24"/>
          <w:szCs w:val="24"/>
        </w:rPr>
        <w:t>0.5、1.0、1.5、2.0、2.33、2.67、3.0、3.33、3.67、4.0、4.5、5.0、6.0、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w:t>
      </w:r>
      <w:r>
        <w:rPr>
          <w:rFonts w:ascii="Times New Roman" w:hAnsi="Times New Roman" w:eastAsia="宋体" w:cs="Times New Roman"/>
          <w:sz w:val="24"/>
          <w:szCs w:val="24"/>
        </w:rPr>
        <w:t>，共1</w:t>
      </w:r>
      <w:r>
        <w:rPr>
          <w:rFonts w:hint="eastAsia" w:ascii="Times New Roman" w:hAnsi="Times New Roman" w:eastAsia="宋体" w:cs="Times New Roman"/>
          <w:sz w:val="24"/>
          <w:szCs w:val="24"/>
        </w:rPr>
        <w:t>6</w:t>
      </w:r>
      <w:r>
        <w:rPr>
          <w:rFonts w:ascii="Times New Roman" w:hAnsi="Times New Roman" w:eastAsia="宋体" w:cs="Times New Roman"/>
          <w:sz w:val="24"/>
          <w:szCs w:val="24"/>
        </w:rPr>
        <w:t>个</w:t>
      </w:r>
      <w:r>
        <w:rPr>
          <w:rFonts w:hint="eastAsia" w:ascii="Times New Roman" w:hAnsi="Times New Roman" w:eastAsia="宋体" w:cs="Times New Roman"/>
          <w:sz w:val="24"/>
          <w:szCs w:val="24"/>
        </w:rPr>
        <w:t>采血</w:t>
      </w:r>
      <w:r>
        <w:rPr>
          <w:rFonts w:ascii="Times New Roman" w:hAnsi="Times New Roman" w:eastAsia="宋体" w:cs="Times New Roman"/>
          <w:sz w:val="24"/>
          <w:szCs w:val="24"/>
        </w:rPr>
        <w:t>点</w:t>
      </w:r>
      <w:r>
        <w:rPr>
          <w:rFonts w:ascii="Times New Roman" w:hAnsi="Times New Roman" w:eastAsia="宋体" w:cs="Times New Roman"/>
          <w:color w:val="auto"/>
          <w:sz w:val="24"/>
          <w:szCs w:val="24"/>
          <w:lang w:eastAsia="zh-TW"/>
        </w:rPr>
        <w:t>，每次采集静脉血约3ml；</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auto"/>
          <w:sz w:val="24"/>
          <w:szCs w:val="24"/>
        </w:rPr>
        <w:t>餐后试验按照设计</w:t>
      </w:r>
      <w:r>
        <w:rPr>
          <w:rFonts w:ascii="Times New Roman" w:hAnsi="Times New Roman" w:eastAsia="宋体" w:cs="Times New Roman"/>
          <w:color w:val="000000" w:themeColor="text1"/>
          <w:sz w:val="24"/>
          <w:szCs w:val="24"/>
          <w:lang w:eastAsia="zh-TW"/>
          <w14:textFill>
            <w14:solidFill>
              <w14:schemeClr w14:val="tx1"/>
            </w14:solidFill>
          </w14:textFill>
        </w:rPr>
        <w:t>时间点采集PK样本</w:t>
      </w:r>
      <w:r>
        <w:rPr>
          <w:rFonts w:ascii="Times New Roman" w:hAnsi="Times New Roman" w:eastAsia="宋体" w:cs="Times New Roman"/>
          <w:color w:val="auto"/>
          <w:sz w:val="24"/>
          <w:szCs w:val="24"/>
          <w:lang w:eastAsia="zh-TW"/>
        </w:rPr>
        <w:t>（给药前0h（服药前1h内）和给药后</w:t>
      </w:r>
      <w:r>
        <w:rPr>
          <w:rFonts w:ascii="Times New Roman" w:hAnsi="Times New Roman" w:eastAsia="宋体" w:cs="Times New Roman"/>
          <w:color w:val="auto"/>
          <w:sz w:val="24"/>
          <w:szCs w:val="24"/>
        </w:rPr>
        <w:t>0.5、1.0、1.5、2.0、2.5、3.0、3.5、4.0、</w:t>
      </w:r>
      <w:r>
        <w:rPr>
          <w:rFonts w:hint="eastAsia" w:ascii="Times New Roman" w:hAnsi="Times New Roman" w:eastAsia="宋体" w:cs="Times New Roman"/>
          <w:color w:val="auto"/>
          <w:sz w:val="24"/>
          <w:szCs w:val="24"/>
        </w:rPr>
        <w:t>4.5、5.</w:t>
      </w:r>
      <w:r>
        <w:rPr>
          <w:rFonts w:ascii="Times New Roman" w:hAnsi="Times New Roman" w:eastAsia="宋体" w:cs="Times New Roman"/>
          <w:color w:val="auto"/>
          <w:sz w:val="24"/>
          <w:szCs w:val="24"/>
        </w:rPr>
        <w:t>0</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w:t>
      </w:r>
      <w:r>
        <w:rPr>
          <w:rFonts w:ascii="Times New Roman" w:hAnsi="Times New Roman" w:eastAsia="宋体" w:cs="Times New Roman"/>
          <w:sz w:val="24"/>
          <w:szCs w:val="24"/>
        </w:rPr>
        <w:t>，共1</w:t>
      </w:r>
      <w:r>
        <w:rPr>
          <w:rFonts w:hint="eastAsia" w:ascii="Times New Roman" w:hAnsi="Times New Roman" w:eastAsia="宋体" w:cs="Times New Roman"/>
          <w:sz w:val="24"/>
          <w:szCs w:val="24"/>
        </w:rPr>
        <w:t>4</w:t>
      </w:r>
      <w:r>
        <w:rPr>
          <w:rFonts w:ascii="Times New Roman" w:hAnsi="Times New Roman" w:eastAsia="宋体" w:cs="Times New Roman"/>
          <w:sz w:val="24"/>
          <w:szCs w:val="24"/>
        </w:rPr>
        <w:t>个</w:t>
      </w:r>
      <w:r>
        <w:rPr>
          <w:rFonts w:hint="eastAsia" w:ascii="Times New Roman" w:hAnsi="Times New Roman" w:eastAsia="宋体" w:cs="Times New Roman"/>
          <w:sz w:val="24"/>
          <w:szCs w:val="24"/>
        </w:rPr>
        <w:t>采血</w:t>
      </w:r>
      <w:r>
        <w:rPr>
          <w:rFonts w:ascii="Times New Roman" w:hAnsi="Times New Roman" w:eastAsia="宋体" w:cs="Times New Roman"/>
          <w:sz w:val="24"/>
          <w:szCs w:val="24"/>
        </w:rPr>
        <w:t>点</w:t>
      </w:r>
      <w:r>
        <w:rPr>
          <w:rFonts w:ascii="Times New Roman" w:hAnsi="Times New Roman" w:eastAsia="宋体" w:cs="Times New Roman"/>
          <w:color w:val="auto"/>
          <w:sz w:val="24"/>
          <w:szCs w:val="24"/>
          <w:lang w:eastAsia="zh-TW"/>
        </w:rPr>
        <w:t>，每次采集静脉血约3ml</w:t>
      </w:r>
      <w:r>
        <w:rPr>
          <w:rFonts w:hint="eastAsia" w:ascii="Times New Roman" w:hAnsi="Times New Roman" w:eastAsia="宋体" w:cs="Times New Roman"/>
          <w:color w:val="auto"/>
          <w:sz w:val="24"/>
          <w:szCs w:val="24"/>
        </w:rPr>
        <w:t>；</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w:t>
      </w: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eastAsia="zh-TW"/>
        </w:rPr>
        <w:t>服药前</w:t>
      </w:r>
      <w:r>
        <w:rPr>
          <w:rFonts w:ascii="Times New Roman" w:hAnsi="Times New Roman" w:eastAsia="宋体" w:cs="Times New Roman"/>
          <w:color w:val="auto"/>
          <w:sz w:val="24"/>
          <w:szCs w:val="24"/>
          <w:lang w:eastAsia="zh-TW"/>
        </w:rPr>
        <w:t>1h内和服药后</w:t>
      </w:r>
      <w:r>
        <w:rPr>
          <w:rFonts w:ascii="Times New Roman" w:hAnsi="Times New Roman" w:eastAsia="宋体" w:cs="Times New Roman"/>
          <w:sz w:val="24"/>
          <w:szCs w:val="24"/>
        </w:rPr>
        <w:t>1±0.5h、3±0.5h、</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±0.5h</w:t>
      </w:r>
      <w:r>
        <w:rPr>
          <w:rFonts w:ascii="Times New Roman" w:hAnsi="Times New Roman" w:eastAsia="宋体" w:cs="Times New Roman"/>
          <w:color w:val="auto"/>
          <w:sz w:val="24"/>
          <w:szCs w:val="24"/>
          <w:lang w:eastAsia="zh-TW"/>
        </w:rPr>
        <w:t>，</w:t>
      </w:r>
      <w:r>
        <w:rPr>
          <w:rFonts w:hint="eastAsia" w:ascii="Times New Roman" w:hAnsi="Times New Roman" w:eastAsia="宋体" w:cs="宋体"/>
          <w:sz w:val="24"/>
        </w:rPr>
        <w:t>包括体温、脉搏及坐位血压</w:t>
      </w:r>
      <w:r>
        <w:rPr>
          <w:rFonts w:ascii="Times New Roman" w:hAnsi="Times New Roman" w:eastAsia="宋体" w:cs="Times New Roman"/>
          <w:color w:val="auto"/>
          <w:sz w:val="24"/>
          <w:szCs w:val="24"/>
          <w:lang w:eastAsia="zh-TW"/>
        </w:rPr>
        <w:t>）</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第2</w:t>
      </w:r>
      <w:r>
        <w:rPr>
          <w:rFonts w:hint="eastAsia" w:ascii="Times New Roman" w:hAnsi="Times New Roman" w:eastAsia="宋体" w:cs="Times New Roman"/>
          <w:color w:val="auto"/>
          <w:sz w:val="24"/>
          <w:szCs w:val="24"/>
          <w:lang w:val="zh-TW"/>
        </w:rPr>
        <w:t>天</w:t>
      </w:r>
      <w:r>
        <w:rPr>
          <w:rFonts w:ascii="Times New Roman" w:hAnsi="Times New Roman" w:eastAsia="宋体" w:cs="Times New Roman"/>
          <w:color w:val="auto"/>
          <w:sz w:val="24"/>
          <w:szCs w:val="24"/>
          <w:lang w:val="zh-TW" w:eastAsia="zh-TW"/>
        </w:rPr>
        <w:t>（第一周期）</w:t>
      </w:r>
    </w:p>
    <w:p>
      <w:pPr>
        <w:pStyle w:val="109"/>
        <w:numPr>
          <w:ilvl w:val="0"/>
          <w:numId w:val="17"/>
        </w:numPr>
        <w:tabs>
          <w:tab w:val="left" w:pos="1134"/>
        </w:tabs>
        <w:autoSpaceDE w:val="0"/>
        <w:autoSpaceDN w:val="0"/>
        <w:adjustRightInd w:val="0"/>
        <w:ind w:left="1157"/>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w:t>
      </w:r>
      <w:r>
        <w:rPr>
          <w:rFonts w:ascii="Times New Roman" w:hAnsi="Times New Roman" w:eastAsia="宋体" w:cs="Times New Roman"/>
          <w:color w:val="auto"/>
          <w:sz w:val="24"/>
          <w:szCs w:val="24"/>
          <w:lang w:eastAsia="zh-TW"/>
        </w:rPr>
        <w:t>本（给药后24</w:t>
      </w:r>
      <w:r>
        <w:rPr>
          <w:rFonts w:ascii="Times New Roman" w:hAnsi="Times New Roman" w:eastAsia="宋体" w:cs="Times New Roman"/>
          <w:color w:val="auto"/>
          <w:sz w:val="24"/>
          <w:szCs w:val="24"/>
        </w:rPr>
        <w:t>.0</w:t>
      </w:r>
      <w:r>
        <w:rPr>
          <w:rFonts w:hint="eastAsia" w:ascii="Times New Roman" w:hAnsi="Times New Roman" w:eastAsia="宋体" w:cs="Times New Roman"/>
          <w:color w:val="auto"/>
          <w:sz w:val="24"/>
          <w:szCs w:val="24"/>
        </w:rPr>
        <w:t>、36.0</w:t>
      </w:r>
      <w:r>
        <w:rPr>
          <w:rFonts w:ascii="Times New Roman" w:hAnsi="Times New Roman" w:eastAsia="宋体" w:cs="Times New Roman"/>
          <w:color w:val="auto"/>
          <w:sz w:val="24"/>
          <w:szCs w:val="24"/>
          <w:lang w:eastAsia="zh-TW"/>
        </w:rPr>
        <w:t>h，共</w:t>
      </w:r>
      <w:r>
        <w:rPr>
          <w:rFonts w:hint="eastAsia" w:ascii="Times New Roman" w:hAnsi="Times New Roman" w:eastAsia="宋体" w:cs="Times New Roman"/>
          <w:color w:val="auto"/>
          <w:sz w:val="24"/>
          <w:szCs w:val="24"/>
        </w:rPr>
        <w:t>2</w:t>
      </w:r>
      <w:r>
        <w:rPr>
          <w:rFonts w:ascii="Times New Roman" w:hAnsi="Times New Roman" w:eastAsia="宋体" w:cs="Times New Roman"/>
          <w:color w:val="auto"/>
          <w:sz w:val="24"/>
          <w:szCs w:val="24"/>
          <w:lang w:eastAsia="zh-TW"/>
        </w:rPr>
        <w:t>个采血点，每次采集静脉血约3ml）；</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测量生命体征（服药后24±</w:t>
      </w:r>
      <w:r>
        <w:rPr>
          <w:rFonts w:ascii="Times New Roman" w:hAnsi="Times New Roman" w:eastAsia="宋体" w:cs="Times New Roman"/>
          <w:color w:val="auto"/>
          <w:sz w:val="24"/>
          <w:szCs w:val="24"/>
        </w:rPr>
        <w:t>1.0h</w:t>
      </w:r>
      <w:r>
        <w:rPr>
          <w:rFonts w:ascii="Times New Roman" w:hAnsi="Times New Roman" w:eastAsia="宋体" w:cs="Times New Roman"/>
          <w:color w:val="auto"/>
          <w:sz w:val="24"/>
          <w:szCs w:val="24"/>
          <w:lang w:eastAsia="zh-TW"/>
        </w:rPr>
        <w:t>，</w:t>
      </w:r>
      <w:r>
        <w:rPr>
          <w:rFonts w:hint="eastAsia" w:ascii="Times New Roman" w:hAnsi="Times New Roman" w:eastAsia="宋体" w:cs="Times New Roman"/>
          <w:color w:val="auto"/>
          <w:sz w:val="24"/>
          <w:szCs w:val="24"/>
        </w:rPr>
        <w:t>36</w:t>
      </w:r>
      <w:r>
        <w:rPr>
          <w:rFonts w:ascii="Times New Roman" w:hAnsi="Times New Roman" w:eastAsia="宋体" w:cs="Times New Roman"/>
          <w:color w:val="auto"/>
          <w:sz w:val="24"/>
          <w:szCs w:val="24"/>
          <w:lang w:eastAsia="zh-TW"/>
        </w:rPr>
        <w:t>±</w:t>
      </w:r>
      <w:r>
        <w:rPr>
          <w:rFonts w:ascii="Times New Roman" w:hAnsi="Times New Roman" w:eastAsia="宋体" w:cs="Times New Roman"/>
          <w:color w:val="auto"/>
          <w:sz w:val="24"/>
          <w:szCs w:val="24"/>
        </w:rPr>
        <w:t>1.0h</w:t>
      </w:r>
      <w:r>
        <w:rPr>
          <w:rFonts w:ascii="Times New Roman" w:hAnsi="Times New Roman" w:eastAsia="宋体" w:cs="Times New Roman"/>
          <w:color w:val="auto"/>
          <w:sz w:val="24"/>
          <w:szCs w:val="24"/>
          <w:lang w:eastAsia="zh-TW"/>
        </w:rPr>
        <w:t>包括</w:t>
      </w:r>
      <w:r>
        <w:rPr>
          <w:rFonts w:hint="eastAsia" w:ascii="Times New Roman" w:hAnsi="Times New Roman" w:eastAsia="宋体" w:cs="宋体"/>
          <w:sz w:val="24"/>
        </w:rPr>
        <w:t>体温、脉搏及坐位血压</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第3</w:t>
      </w:r>
      <w:r>
        <w:rPr>
          <w:rFonts w:ascii="Times New Roman" w:hAnsi="Times New Roman" w:eastAsia="宋体" w:cs="Times New Roman"/>
          <w:color w:val="auto"/>
          <w:sz w:val="24"/>
          <w:szCs w:val="24"/>
        </w:rPr>
        <w:t>天</w:t>
      </w:r>
      <w:r>
        <w:rPr>
          <w:rFonts w:ascii="Times New Roman" w:hAnsi="Times New Roman" w:eastAsia="宋体" w:cs="Times New Roman"/>
          <w:color w:val="auto"/>
          <w:sz w:val="24"/>
          <w:szCs w:val="24"/>
          <w:lang w:val="zh-TW" w:eastAsia="zh-TW"/>
        </w:rPr>
        <w:t>（第一周期）</w:t>
      </w:r>
    </w:p>
    <w:p>
      <w:pPr>
        <w:pStyle w:val="109"/>
        <w:numPr>
          <w:ilvl w:val="0"/>
          <w:numId w:val="17"/>
        </w:numPr>
        <w:tabs>
          <w:tab w:val="left" w:pos="1134"/>
        </w:tabs>
        <w:autoSpaceDE w:val="0"/>
        <w:autoSpaceDN w:val="0"/>
        <w:adjustRightInd w:val="0"/>
        <w:ind w:left="1157"/>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w:t>
      </w:r>
      <w:r>
        <w:rPr>
          <w:rFonts w:ascii="Times New Roman" w:hAnsi="Times New Roman" w:eastAsia="宋体" w:cs="Times New Roman"/>
          <w:color w:val="auto"/>
          <w:sz w:val="24"/>
          <w:szCs w:val="24"/>
          <w:lang w:eastAsia="zh-TW"/>
        </w:rPr>
        <w:t>本（给药</w:t>
      </w:r>
      <w:r>
        <w:rPr>
          <w:rFonts w:hint="eastAsia" w:ascii="Times New Roman" w:hAnsi="Times New Roman" w:eastAsia="宋体" w:cs="Times New Roman"/>
          <w:color w:val="auto"/>
          <w:sz w:val="24"/>
          <w:szCs w:val="24"/>
        </w:rPr>
        <w:t>后</w:t>
      </w:r>
      <w:r>
        <w:rPr>
          <w:rFonts w:ascii="Times New Roman" w:hAnsi="Times New Roman" w:eastAsia="宋体" w:cs="Times New Roman"/>
          <w:color w:val="auto"/>
          <w:sz w:val="24"/>
          <w:szCs w:val="24"/>
          <w:lang w:eastAsia="zh-TW"/>
        </w:rPr>
        <w:t>48</w:t>
      </w:r>
      <w:r>
        <w:rPr>
          <w:rFonts w:ascii="Times New Roman" w:hAnsi="Times New Roman" w:eastAsia="宋体" w:cs="Times New Roman"/>
          <w:color w:val="auto"/>
          <w:sz w:val="24"/>
          <w:szCs w:val="24"/>
        </w:rPr>
        <w:t>.0</w:t>
      </w:r>
      <w:r>
        <w:rPr>
          <w:rFonts w:ascii="Times New Roman" w:hAnsi="Times New Roman" w:eastAsia="宋体" w:cs="Times New Roman"/>
          <w:color w:val="auto"/>
          <w:sz w:val="24"/>
          <w:szCs w:val="24"/>
          <w:lang w:eastAsia="zh-TW"/>
        </w:rPr>
        <w:t>h，共1个采血点，每次采集静脉血约3ml）；</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测量生命体征（服药后48</w:t>
      </w:r>
      <w:r>
        <w:rPr>
          <w:rFonts w:hint="eastAsia" w:ascii="Times New Roman" w:hAnsi="Times New Roman" w:eastAsia="宋体" w:cs="Times New Roman"/>
          <w:color w:val="auto"/>
          <w:sz w:val="24"/>
          <w:szCs w:val="24"/>
        </w:rPr>
        <w:t>±1.0</w:t>
      </w:r>
      <w:r>
        <w:rPr>
          <w:rFonts w:ascii="Times New Roman" w:hAnsi="Times New Roman" w:eastAsia="宋体" w:cs="Times New Roman"/>
          <w:color w:val="auto"/>
          <w:sz w:val="24"/>
          <w:szCs w:val="24"/>
        </w:rPr>
        <w:t>h</w:t>
      </w:r>
      <w:r>
        <w:rPr>
          <w:rFonts w:ascii="Times New Roman" w:hAnsi="Times New Roman" w:eastAsia="宋体" w:cs="Times New Roman"/>
          <w:color w:val="auto"/>
          <w:sz w:val="24"/>
          <w:szCs w:val="24"/>
          <w:lang w:eastAsia="zh-TW"/>
        </w:rPr>
        <w:t>，包括</w:t>
      </w:r>
      <w:r>
        <w:rPr>
          <w:rFonts w:hint="eastAsia" w:ascii="Times New Roman" w:hAnsi="Times New Roman" w:eastAsia="宋体" w:cs="宋体"/>
          <w:sz w:val="24"/>
        </w:rPr>
        <w:t>体温、脉搏及坐位血压</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受试者离开</w:t>
      </w:r>
      <w:r>
        <w:rPr>
          <w:rFonts w:hint="eastAsia" w:ascii="Times New Roman" w:hAnsi="Times New Roman" w:eastAsia="宋体" w:cs="Times New Roman"/>
          <w:color w:val="auto"/>
          <w:sz w:val="24"/>
          <w:szCs w:val="24"/>
        </w:rPr>
        <w:t>Ⅰ 期临床研究中心</w:t>
      </w:r>
      <w:r>
        <w:rPr>
          <w:rFonts w:ascii="Times New Roman" w:hAnsi="Times New Roman" w:eastAsia="宋体" w:cs="Times New Roman"/>
          <w:color w:val="auto"/>
          <w:sz w:val="24"/>
          <w:szCs w:val="24"/>
          <w:lang w:eastAsia="zh-TW"/>
        </w:rPr>
        <w:t>。</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w:t>
      </w:r>
      <w:r>
        <w:rPr>
          <w:rFonts w:ascii="Times New Roman" w:hAnsi="Times New Roman" w:eastAsia="PMingLiU" w:cs="Times New Roman"/>
          <w:color w:val="auto"/>
          <w:sz w:val="24"/>
          <w:szCs w:val="24"/>
          <w:lang w:val="zh-TW" w:eastAsia="zh-TW"/>
        </w:rPr>
        <w:t>4</w:t>
      </w:r>
      <w:r>
        <w:rPr>
          <w:rFonts w:ascii="Times New Roman" w:hAnsi="Times New Roman" w:eastAsia="宋体" w:cs="Times New Roman"/>
          <w:color w:val="auto"/>
          <w:sz w:val="24"/>
          <w:szCs w:val="24"/>
          <w:lang w:val="zh-TW" w:eastAsia="zh-TW"/>
        </w:rPr>
        <w:t>~</w:t>
      </w:r>
      <w:r>
        <w:rPr>
          <w:rFonts w:ascii="Times New Roman" w:hAnsi="Times New Roman" w:eastAsia="PMingLiU" w:cs="Times New Roman"/>
          <w:color w:val="auto"/>
          <w:sz w:val="24"/>
          <w:szCs w:val="24"/>
          <w:lang w:val="zh-TW" w:eastAsia="zh-TW"/>
        </w:rPr>
        <w:t>6</w:t>
      </w:r>
      <w:r>
        <w:rPr>
          <w:rFonts w:ascii="Times New Roman" w:hAnsi="Times New Roman" w:eastAsia="宋体" w:cs="Times New Roman"/>
          <w:color w:val="auto"/>
          <w:sz w:val="24"/>
          <w:szCs w:val="24"/>
          <w:lang w:val="zh-TW" w:eastAsia="zh-TW"/>
        </w:rPr>
        <w:t>（</w:t>
      </w:r>
      <w:r>
        <w:rPr>
          <w:rFonts w:hint="eastAsia" w:ascii="Times New Roman" w:hAnsi="Times New Roman" w:eastAsia="宋体" w:cs="Times New Roman"/>
          <w:color w:val="auto"/>
          <w:sz w:val="24"/>
          <w:szCs w:val="24"/>
          <w:lang w:val="zh-TW"/>
        </w:rPr>
        <w:t>离院清洗</w:t>
      </w:r>
      <w:r>
        <w:rPr>
          <w:rFonts w:ascii="Times New Roman" w:hAnsi="Times New Roman" w:eastAsia="宋体" w:cs="Times New Roman"/>
          <w:color w:val="auto"/>
          <w:sz w:val="24"/>
          <w:szCs w:val="24"/>
          <w:lang w:val="zh-TW" w:eastAsia="zh-TW"/>
        </w:rPr>
        <w:t>）</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第7天（第二周期）</w:t>
      </w:r>
    </w:p>
    <w:p>
      <w:pPr>
        <w:pStyle w:val="109"/>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eastAsia="zh-TW"/>
        </w:rPr>
        <w:t>要求筛选合格受试者于第7天（即给药前1天）到达试验中心。研究者将对受试者进行生命体征、</w:t>
      </w:r>
      <w:r>
        <w:rPr>
          <w:rFonts w:hint="eastAsia" w:ascii="Times New Roman" w:hAnsi="Times New Roman" w:eastAsia="宋体" w:cs="Times New Roman"/>
          <w:color w:val="auto"/>
          <w:sz w:val="24"/>
          <w:szCs w:val="24"/>
          <w:lang w:val="zh-TW"/>
        </w:rPr>
        <w:t>血</w:t>
      </w:r>
      <w:r>
        <w:rPr>
          <w:rFonts w:ascii="Times New Roman" w:hAnsi="Times New Roman" w:eastAsia="宋体" w:cs="Times New Roman"/>
          <w:color w:val="auto"/>
          <w:sz w:val="24"/>
          <w:szCs w:val="24"/>
          <w:lang w:val="zh-TW" w:eastAsia="zh-TW"/>
        </w:rPr>
        <w:t>妊娠检查（仅育龄期女</w:t>
      </w:r>
      <w:r>
        <w:rPr>
          <w:rFonts w:ascii="Times New Roman" w:hAnsi="Times New Roman" w:eastAsia="宋体" w:cs="Times New Roman"/>
          <w:color w:val="auto"/>
          <w:sz w:val="24"/>
          <w:szCs w:val="24"/>
          <w:lang w:val="zh-TW"/>
        </w:rPr>
        <w:t>性</w:t>
      </w:r>
      <w:r>
        <w:rPr>
          <w:rFonts w:ascii="Times New Roman" w:hAnsi="Times New Roman" w:eastAsia="宋体" w:cs="Times New Roman"/>
          <w:color w:val="auto"/>
          <w:sz w:val="24"/>
          <w:szCs w:val="24"/>
          <w:lang w:val="zh-TW" w:eastAsia="zh-TW"/>
        </w:rPr>
        <w:t>）、酒精</w:t>
      </w:r>
      <w:r>
        <w:rPr>
          <w:rFonts w:hint="eastAsia" w:ascii="Times New Roman" w:hAnsi="Times New Roman" w:eastAsia="宋体" w:cs="Times New Roman"/>
          <w:color w:val="auto"/>
          <w:sz w:val="24"/>
          <w:szCs w:val="24"/>
          <w:lang w:val="en-US" w:eastAsia="zh-CN"/>
        </w:rPr>
        <w:t>呼气检测</w:t>
      </w:r>
      <w:r>
        <w:rPr>
          <w:rFonts w:hint="eastAsia" w:ascii="Times New Roman" w:hAnsi="Times New Roman" w:eastAsia="宋体" w:cs="Times New Roman"/>
          <w:color w:val="auto"/>
          <w:sz w:val="24"/>
          <w:szCs w:val="24"/>
          <w:lang w:val="zh-TW" w:eastAsia="zh-TW"/>
        </w:rPr>
        <w:t>和</w:t>
      </w:r>
      <w:r>
        <w:rPr>
          <w:rFonts w:hint="eastAsia" w:ascii="Times New Roman" w:hAnsi="Times New Roman" w:eastAsia="宋体" w:cs="Times New Roman"/>
          <w:color w:val="auto"/>
          <w:sz w:val="24"/>
          <w:szCs w:val="24"/>
          <w:lang w:val="zh-TW" w:eastAsia="zh-CN"/>
        </w:rPr>
        <w:t>药物滥用筛查</w:t>
      </w:r>
      <w:r>
        <w:rPr>
          <w:rFonts w:ascii="Times New Roman" w:hAnsi="Times New Roman" w:eastAsia="宋体" w:cs="Times New Roman"/>
          <w:color w:val="auto"/>
          <w:sz w:val="24"/>
          <w:szCs w:val="24"/>
          <w:lang w:val="zh-TW" w:eastAsia="zh-TW"/>
        </w:rPr>
        <w:t>。</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服药前10h禁食</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第8天（第二周期）</w:t>
      </w:r>
    </w:p>
    <w:p>
      <w:pPr>
        <w:pStyle w:val="50"/>
        <w:autoSpaceDE w:val="0"/>
        <w:autoSpaceDN w:val="0"/>
        <w:adjustRightInd w:val="0"/>
        <w:ind w:left="0" w:firstLine="480" w:firstLineChars="200"/>
        <w:contextualSpacing/>
        <w:rPr>
          <w:rFonts w:eastAsia="宋体"/>
          <w:color w:val="auto"/>
          <w:lang w:val="zh-TW" w:eastAsia="zh-TW"/>
        </w:rPr>
      </w:pPr>
      <w:r>
        <w:rPr>
          <w:rFonts w:eastAsia="宋体"/>
          <w:color w:val="000000" w:themeColor="text1"/>
          <w:lang w:val="zh-TW" w:eastAsia="zh-TW"/>
          <w14:textFill>
            <w14:solidFill>
              <w14:schemeClr w14:val="tx1"/>
            </w14:solidFill>
          </w14:textFill>
        </w:rPr>
        <w:t>空腹过夜至少10个</w:t>
      </w:r>
      <w:r>
        <w:rPr>
          <w:rFonts w:eastAsia="宋体"/>
          <w:color w:val="000000" w:themeColor="text1"/>
          <w:lang w:val="zh-TW"/>
          <w14:textFill>
            <w14:solidFill>
              <w14:schemeClr w14:val="tx1"/>
            </w14:solidFill>
          </w14:textFill>
        </w:rPr>
        <w:t>小时</w:t>
      </w:r>
      <w:r>
        <w:rPr>
          <w:rFonts w:eastAsia="宋体"/>
          <w:color w:val="000000" w:themeColor="text1"/>
          <w:lang w:val="zh-TW" w:eastAsia="zh-TW"/>
          <w14:textFill>
            <w14:solidFill>
              <w14:schemeClr w14:val="tx1"/>
            </w14:solidFill>
          </w14:textFill>
        </w:rPr>
        <w:t>后，受试者按</w:t>
      </w:r>
      <w:r>
        <w:rPr>
          <w:rFonts w:hint="eastAsia" w:eastAsia="宋体"/>
          <w:color w:val="000000" w:themeColor="text1"/>
          <w14:textFill>
            <w14:solidFill>
              <w14:schemeClr w14:val="tx1"/>
            </w14:solidFill>
          </w14:textFill>
        </w:rPr>
        <w:t>随机号对应的给药序列服药</w:t>
      </w:r>
      <w:r>
        <w:rPr>
          <w:rFonts w:eastAsia="宋体"/>
          <w:color w:val="auto"/>
          <w:lang w:val="zh-TW" w:eastAsia="zh-TW"/>
        </w:rPr>
        <w:t>。空腹</w:t>
      </w:r>
      <w:r>
        <w:rPr>
          <w:rFonts w:eastAsia="宋体"/>
          <w:color w:val="auto"/>
          <w:lang w:val="zh-TW"/>
        </w:rPr>
        <w:t>生物等效性</w:t>
      </w:r>
      <w:r>
        <w:rPr>
          <w:rFonts w:hint="eastAsia" w:eastAsia="宋体"/>
          <w:color w:val="auto"/>
          <w:lang w:val="zh-TW"/>
        </w:rPr>
        <w:t>试验</w:t>
      </w:r>
      <w:r>
        <w:rPr>
          <w:rFonts w:eastAsia="宋体"/>
          <w:color w:val="auto"/>
          <w:lang w:val="zh-TW"/>
        </w:rPr>
        <w:t>中，</w:t>
      </w:r>
      <w:r>
        <w:rPr>
          <w:rFonts w:eastAsia="宋体"/>
          <w:color w:val="auto"/>
          <w:lang w:val="zh-TW" w:eastAsia="zh-TW"/>
        </w:rPr>
        <w:t>受试者</w:t>
      </w:r>
      <w:r>
        <w:rPr>
          <w:rFonts w:hint="eastAsia" w:eastAsia="宋体"/>
          <w:color w:val="auto"/>
        </w:rPr>
        <w:t>在空腹状态下，用240ml温水送服研究药物</w:t>
      </w:r>
      <w:r>
        <w:rPr>
          <w:rFonts w:eastAsia="宋体"/>
          <w:color w:val="auto"/>
          <w:lang w:val="zh-TW" w:eastAsia="zh-TW"/>
        </w:rPr>
        <w:t>；</w:t>
      </w:r>
      <w:r>
        <w:rPr>
          <w:rFonts w:eastAsia="宋体"/>
          <w:color w:val="auto"/>
          <w:lang w:val="zh-TW"/>
        </w:rPr>
        <w:t>高脂</w:t>
      </w:r>
      <w:r>
        <w:rPr>
          <w:rFonts w:eastAsia="宋体"/>
          <w:color w:val="auto"/>
          <w:lang w:val="zh-TW" w:eastAsia="zh-TW"/>
        </w:rPr>
        <w:t>餐后</w:t>
      </w:r>
      <w:r>
        <w:rPr>
          <w:rFonts w:eastAsia="宋体"/>
          <w:color w:val="auto"/>
          <w:lang w:val="zh-TW"/>
        </w:rPr>
        <w:t>生物等效性</w:t>
      </w:r>
      <w:r>
        <w:rPr>
          <w:rFonts w:hint="eastAsia" w:eastAsia="宋体"/>
          <w:color w:val="auto"/>
          <w:lang w:val="zh-TW"/>
        </w:rPr>
        <w:t>试验</w:t>
      </w:r>
      <w:r>
        <w:rPr>
          <w:rFonts w:eastAsia="宋体"/>
          <w:color w:val="auto"/>
          <w:lang w:val="zh-TW"/>
        </w:rPr>
        <w:t>中，受试者需要</w:t>
      </w:r>
      <w:r>
        <w:rPr>
          <w:rFonts w:eastAsia="宋体"/>
          <w:color w:val="auto"/>
          <w:lang w:val="zh-TW" w:eastAsia="zh-TW"/>
        </w:rPr>
        <w:t>在服</w:t>
      </w:r>
      <w:r>
        <w:rPr>
          <w:rFonts w:eastAsia="宋体"/>
          <w:color w:val="auto"/>
          <w:lang w:val="zh-TW"/>
        </w:rPr>
        <w:t>用研究药物</w:t>
      </w:r>
      <w:r>
        <w:rPr>
          <w:rFonts w:eastAsia="宋体"/>
          <w:color w:val="auto"/>
          <w:lang w:val="zh-TW" w:eastAsia="zh-TW"/>
        </w:rPr>
        <w:t>前30min</w:t>
      </w:r>
      <w:r>
        <w:rPr>
          <w:rFonts w:hint="eastAsia" w:eastAsia="宋体"/>
          <w:color w:val="auto"/>
          <w:lang w:val="zh-TW"/>
        </w:rPr>
        <w:t>开始</w:t>
      </w:r>
      <w:r>
        <w:rPr>
          <w:rFonts w:eastAsia="宋体"/>
          <w:color w:val="auto"/>
          <w:lang w:val="zh-TW" w:eastAsia="zh-TW"/>
        </w:rPr>
        <w:t>进食高脂餐，控制进餐速度，</w:t>
      </w:r>
      <w:r>
        <w:rPr>
          <w:rFonts w:eastAsia="宋体"/>
          <w:color w:val="auto"/>
          <w:lang w:val="zh-TW"/>
        </w:rPr>
        <w:t>高脂</w:t>
      </w:r>
      <w:r>
        <w:rPr>
          <w:rFonts w:eastAsia="宋体"/>
          <w:color w:val="auto"/>
          <w:lang w:val="zh-TW" w:eastAsia="zh-TW"/>
        </w:rPr>
        <w:t>餐</w:t>
      </w:r>
      <w:r>
        <w:rPr>
          <w:rFonts w:eastAsia="宋体"/>
          <w:color w:val="auto"/>
          <w:lang w:val="zh-TW"/>
        </w:rPr>
        <w:t>要</w:t>
      </w:r>
      <w:r>
        <w:rPr>
          <w:rFonts w:eastAsia="宋体"/>
          <w:color w:val="auto"/>
          <w:lang w:val="zh-TW" w:eastAsia="zh-TW"/>
        </w:rPr>
        <w:t>在进餐开始后30min内吃完，</w:t>
      </w:r>
      <w:r>
        <w:rPr>
          <w:rFonts w:eastAsia="宋体"/>
          <w:color w:val="auto"/>
          <w:lang w:val="zh-TW"/>
        </w:rPr>
        <w:t>研究</w:t>
      </w:r>
      <w:r>
        <w:rPr>
          <w:rFonts w:eastAsia="宋体"/>
          <w:color w:val="auto"/>
          <w:lang w:val="zh-TW" w:eastAsia="zh-TW"/>
        </w:rPr>
        <w:t>药物要在进餐后且以开始进餐时间计</w:t>
      </w:r>
      <w:r>
        <w:rPr>
          <w:rFonts w:eastAsia="宋体"/>
          <w:color w:val="auto"/>
          <w:lang w:val="zh-TW"/>
        </w:rPr>
        <w:t>时</w:t>
      </w:r>
      <w:r>
        <w:rPr>
          <w:rFonts w:eastAsia="宋体"/>
          <w:color w:val="auto"/>
          <w:lang w:val="zh-TW" w:eastAsia="zh-TW"/>
        </w:rPr>
        <w:t>的30</w:t>
      </w:r>
      <w:r>
        <w:rPr>
          <w:rFonts w:eastAsia="宋体"/>
          <w:color w:val="000000" w:themeColor="text1"/>
          <w:lang w:val="zh-TW"/>
          <w14:textFill>
            <w14:solidFill>
              <w14:schemeClr w14:val="tx1"/>
            </w14:solidFill>
          </w14:textFill>
        </w:rPr>
        <w:t>±0.5min</w:t>
      </w:r>
      <w:r>
        <w:rPr>
          <w:rFonts w:hint="eastAsia" w:eastAsia="宋体"/>
          <w:color w:val="000000" w:themeColor="text1"/>
          <w:lang w:val="zh-TW"/>
          <w14:textFill>
            <w14:solidFill>
              <w14:schemeClr w14:val="tx1"/>
            </w14:solidFill>
          </w14:textFill>
        </w:rPr>
        <w:t>内</w:t>
      </w:r>
      <w:r>
        <w:rPr>
          <w:rFonts w:hint="eastAsia" w:eastAsia="宋体"/>
          <w:color w:val="auto"/>
        </w:rPr>
        <w:t>用</w:t>
      </w:r>
      <w:r>
        <w:rPr>
          <w:rFonts w:eastAsia="宋体"/>
          <w:color w:val="auto"/>
          <w:lang w:val="zh-TW" w:eastAsia="zh-TW"/>
        </w:rPr>
        <w:t>240ml</w:t>
      </w:r>
      <w:r>
        <w:rPr>
          <w:rFonts w:hint="eastAsia" w:eastAsia="宋体"/>
          <w:color w:val="auto"/>
          <w:lang w:val="zh-TW"/>
        </w:rPr>
        <w:t>温水</w:t>
      </w:r>
      <w:r>
        <w:rPr>
          <w:rFonts w:eastAsia="宋体"/>
          <w:color w:val="auto"/>
          <w:lang w:val="zh-TW" w:eastAsia="zh-TW"/>
        </w:rPr>
        <w:t>送服。</w:t>
      </w:r>
      <w:r>
        <w:rPr>
          <w:rFonts w:eastAsia="宋体"/>
          <w:color w:val="000000" w:themeColor="text1"/>
          <w:lang w:val="zh-TW"/>
          <w14:textFill>
            <w14:solidFill>
              <w14:schemeClr w14:val="tx1"/>
            </w14:solidFill>
          </w14:textFill>
        </w:rPr>
        <w:t>服药后受试者需禁食</w:t>
      </w:r>
      <w:r>
        <w:rPr>
          <w:rFonts w:eastAsia="宋体"/>
          <w:color w:val="000000" w:themeColor="text1"/>
          <w:lang w:val="zh-TW" w:eastAsia="zh-TW"/>
          <w14:textFill>
            <w14:solidFill>
              <w14:schemeClr w14:val="tx1"/>
            </w14:solidFill>
          </w14:textFill>
        </w:rPr>
        <w:t>4</w:t>
      </w:r>
      <w:r>
        <w:rPr>
          <w:rFonts w:eastAsia="宋体"/>
          <w:color w:val="000000" w:themeColor="text1"/>
          <w:lang w:val="zh-TW"/>
          <w14:textFill>
            <w14:solidFill>
              <w14:schemeClr w14:val="tx1"/>
            </w14:solidFill>
          </w14:textFill>
        </w:rPr>
        <w:t>h，</w:t>
      </w:r>
      <w:r>
        <w:rPr>
          <w:rFonts w:hint="eastAsia" w:eastAsia="宋体"/>
          <w:color w:val="000000" w:themeColor="text1"/>
          <w:lang w:val="zh-TW"/>
          <w14:textFill>
            <w14:solidFill>
              <w14:schemeClr w14:val="tx1"/>
            </w14:solidFill>
          </w14:textFill>
        </w:rPr>
        <w:t>服药4小时和10小时后进食统一标准餐</w:t>
      </w:r>
      <w:r>
        <w:rPr>
          <w:rFonts w:eastAsia="宋体"/>
          <w:color w:val="000000" w:themeColor="text1"/>
          <w:lang w:val="zh-TW"/>
          <w14:textFill>
            <w14:solidFill>
              <w14:schemeClr w14:val="tx1"/>
            </w14:solidFill>
          </w14:textFill>
        </w:rPr>
        <w:t>，</w:t>
      </w:r>
      <w:r>
        <w:rPr>
          <w:rFonts w:hint="eastAsia" w:eastAsia="宋体"/>
          <w:color w:val="000000" w:themeColor="text1"/>
          <w:lang w:val="zh-TW"/>
          <w14:textFill>
            <w14:solidFill>
              <w14:schemeClr w14:val="tx1"/>
            </w14:solidFill>
          </w14:textFill>
        </w:rPr>
        <w:t>试验期间需统一饮食</w:t>
      </w:r>
      <w:r>
        <w:rPr>
          <w:rFonts w:eastAsia="宋体"/>
          <w:color w:val="auto"/>
          <w:lang w:val="zh-TW"/>
        </w:rPr>
        <w:t>，服药前1h及服药后1h受试者禁止饮水（服药</w:t>
      </w:r>
      <w:r>
        <w:rPr>
          <w:rFonts w:hint="eastAsia" w:eastAsia="宋体"/>
          <w:color w:val="auto"/>
        </w:rPr>
        <w:t>饮</w:t>
      </w:r>
      <w:r>
        <w:rPr>
          <w:rFonts w:eastAsia="宋体"/>
          <w:color w:val="auto"/>
          <w:lang w:val="zh-TW"/>
        </w:rPr>
        <w:t>水</w:t>
      </w:r>
      <w:r>
        <w:rPr>
          <w:rFonts w:hint="eastAsia" w:eastAsia="宋体"/>
          <w:color w:val="auto"/>
          <w:lang w:val="zh-TW"/>
        </w:rPr>
        <w:t>、高脂餐饮用液体食物</w:t>
      </w:r>
      <w:r>
        <w:rPr>
          <w:rFonts w:eastAsia="宋体"/>
          <w:color w:val="auto"/>
          <w:lang w:val="zh-TW"/>
        </w:rPr>
        <w:t>除外）。</w:t>
      </w:r>
      <w:r>
        <w:rPr>
          <w:rFonts w:eastAsia="宋体"/>
          <w:color w:val="auto"/>
          <w:lang w:val="zh-TW" w:eastAsia="zh-TW"/>
        </w:rPr>
        <w:t>具体需要完成项目如下具体需要完成项目如下：</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研究药物清点、核对及发放；</w:t>
      </w:r>
    </w:p>
    <w:p>
      <w:pPr>
        <w:pStyle w:val="109"/>
        <w:numPr>
          <w:ilvl w:val="0"/>
          <w:numId w:val="17"/>
        </w:numPr>
        <w:tabs>
          <w:tab w:val="left" w:pos="1134"/>
        </w:tabs>
        <w:autoSpaceDE w:val="0"/>
        <w:autoSpaceDN w:val="0"/>
        <w:adjustRightInd w:val="0"/>
        <w:ind w:left="1100"/>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放置留置</w:t>
      </w:r>
      <w:r>
        <w:rPr>
          <w:rFonts w:hint="eastAsia" w:ascii="Times New Roman" w:hAnsi="Times New Roman" w:eastAsia="宋体" w:cs="Times New Roman"/>
          <w:color w:val="auto"/>
          <w:sz w:val="24"/>
          <w:szCs w:val="24"/>
        </w:rPr>
        <w:t>针</w:t>
      </w:r>
      <w:r>
        <w:rPr>
          <w:rFonts w:ascii="Times New Roman" w:hAnsi="Times New Roman" w:eastAsia="宋体" w:cs="Times New Roman"/>
          <w:color w:val="auto"/>
          <w:sz w:val="24"/>
          <w:szCs w:val="24"/>
          <w:lang w:eastAsia="zh-TW"/>
        </w:rPr>
        <w:t>，</w:t>
      </w:r>
      <w:r>
        <w:rPr>
          <w:rFonts w:hint="eastAsia" w:ascii="Times New Roman" w:hAnsi="Times New Roman" w:eastAsia="宋体" w:cs="Times New Roman"/>
          <w:color w:val="auto"/>
          <w:sz w:val="24"/>
          <w:szCs w:val="24"/>
          <w:lang w:eastAsia="zh-TW"/>
        </w:rPr>
        <w:t>生理盐水</w:t>
      </w:r>
      <w:r>
        <w:rPr>
          <w:rFonts w:ascii="Times New Roman" w:hAnsi="Times New Roman" w:eastAsia="宋体" w:cs="Times New Roman"/>
          <w:color w:val="auto"/>
          <w:sz w:val="24"/>
          <w:szCs w:val="24"/>
          <w:lang w:eastAsia="zh-TW"/>
        </w:rPr>
        <w:t>溶液封管</w:t>
      </w:r>
      <w:r>
        <w:rPr>
          <w:rFonts w:hint="eastAsia" w:ascii="Times New Roman" w:hAnsi="Times New Roman" w:eastAsia="宋体" w:cs="Times New Roman"/>
          <w:color w:val="auto"/>
          <w:sz w:val="24"/>
          <w:szCs w:val="24"/>
        </w:rPr>
        <w:t>，但整个试验保持统一</w:t>
      </w:r>
      <w:r>
        <w:rPr>
          <w:rFonts w:ascii="Times New Roman" w:hAnsi="Times New Roman" w:eastAsia="宋体" w:cs="Times New Roman"/>
          <w:color w:val="auto"/>
          <w:sz w:val="24"/>
          <w:szCs w:val="24"/>
          <w:lang w:eastAsia="zh-TW"/>
        </w:rPr>
        <w:t>；</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给药；</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空腹试验</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按照设计时间点采集PK样本</w:t>
      </w:r>
      <w:r>
        <w:rPr>
          <w:rFonts w:hint="eastAsia" w:ascii="Times New Roman" w:hAnsi="Times New Roman" w:eastAsia="宋体" w:cs="Times New Roman"/>
          <w:color w:val="auto"/>
          <w:sz w:val="24"/>
          <w:szCs w:val="24"/>
        </w:rPr>
        <w:t>：服</w:t>
      </w:r>
      <w:r>
        <w:rPr>
          <w:rFonts w:ascii="Times New Roman" w:hAnsi="Times New Roman" w:eastAsia="宋体" w:cs="Times New Roman"/>
          <w:color w:val="auto"/>
          <w:sz w:val="24"/>
          <w:szCs w:val="24"/>
          <w:lang w:eastAsia="zh-TW"/>
        </w:rPr>
        <w:t>药前0h（服药前1h内）和</w:t>
      </w:r>
      <w:r>
        <w:rPr>
          <w:rFonts w:hint="eastAsia" w:ascii="Times New Roman" w:hAnsi="Times New Roman" w:eastAsia="宋体" w:cs="Times New Roman"/>
          <w:color w:val="auto"/>
          <w:sz w:val="24"/>
          <w:szCs w:val="24"/>
        </w:rPr>
        <w:t>服</w:t>
      </w:r>
      <w:r>
        <w:rPr>
          <w:rFonts w:ascii="Times New Roman" w:hAnsi="Times New Roman" w:eastAsia="宋体" w:cs="Times New Roman"/>
          <w:color w:val="auto"/>
          <w:sz w:val="24"/>
          <w:szCs w:val="24"/>
          <w:lang w:eastAsia="zh-TW"/>
        </w:rPr>
        <w:t>药后</w:t>
      </w:r>
      <w:r>
        <w:rPr>
          <w:rFonts w:ascii="Times New Roman" w:hAnsi="Times New Roman" w:eastAsia="宋体" w:cs="Times New Roman"/>
          <w:color w:val="auto"/>
          <w:sz w:val="24"/>
          <w:szCs w:val="24"/>
        </w:rPr>
        <w:t>0.5、1.0、1.5、2.0、2.33、2.67、3.0、3.33、3.67、4.0、4.5、5.0、6.0、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w:t>
      </w:r>
      <w:r>
        <w:rPr>
          <w:rFonts w:ascii="Times New Roman" w:hAnsi="Times New Roman" w:eastAsia="宋体" w:cs="Times New Roman"/>
          <w:sz w:val="24"/>
          <w:szCs w:val="24"/>
        </w:rPr>
        <w:t>，共1</w:t>
      </w:r>
      <w:r>
        <w:rPr>
          <w:rFonts w:hint="eastAsia" w:ascii="Times New Roman" w:hAnsi="Times New Roman" w:eastAsia="宋体" w:cs="Times New Roman"/>
          <w:sz w:val="24"/>
          <w:szCs w:val="24"/>
        </w:rPr>
        <w:t>6</w:t>
      </w:r>
      <w:r>
        <w:rPr>
          <w:rFonts w:ascii="Times New Roman" w:hAnsi="Times New Roman" w:eastAsia="宋体" w:cs="Times New Roman"/>
          <w:sz w:val="24"/>
          <w:szCs w:val="24"/>
        </w:rPr>
        <w:t>个</w:t>
      </w:r>
      <w:r>
        <w:rPr>
          <w:rFonts w:hint="eastAsia" w:ascii="Times New Roman" w:hAnsi="Times New Roman" w:eastAsia="宋体" w:cs="Times New Roman"/>
          <w:sz w:val="24"/>
          <w:szCs w:val="24"/>
        </w:rPr>
        <w:t>采血</w:t>
      </w:r>
      <w:r>
        <w:rPr>
          <w:rFonts w:ascii="Times New Roman" w:hAnsi="Times New Roman" w:eastAsia="宋体" w:cs="Times New Roman"/>
          <w:sz w:val="24"/>
          <w:szCs w:val="24"/>
        </w:rPr>
        <w:t>点</w:t>
      </w:r>
      <w:r>
        <w:rPr>
          <w:rFonts w:ascii="Times New Roman" w:hAnsi="Times New Roman" w:eastAsia="宋体" w:cs="Times New Roman"/>
          <w:color w:val="auto"/>
          <w:sz w:val="24"/>
          <w:szCs w:val="24"/>
          <w:lang w:eastAsia="zh-TW"/>
        </w:rPr>
        <w:t>，每次采集静脉血约3ml；</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auto"/>
          <w:sz w:val="24"/>
          <w:szCs w:val="24"/>
        </w:rPr>
        <w:t>餐后试验按照设计</w:t>
      </w:r>
      <w:r>
        <w:rPr>
          <w:rFonts w:ascii="Times New Roman" w:hAnsi="Times New Roman" w:eastAsia="宋体" w:cs="Times New Roman"/>
          <w:color w:val="000000" w:themeColor="text1"/>
          <w:sz w:val="24"/>
          <w:szCs w:val="24"/>
          <w:lang w:eastAsia="zh-TW"/>
          <w14:textFill>
            <w14:solidFill>
              <w14:schemeClr w14:val="tx1"/>
            </w14:solidFill>
          </w14:textFill>
        </w:rPr>
        <w:t>时间点采集PK样本</w:t>
      </w:r>
      <w:r>
        <w:rPr>
          <w:rFonts w:ascii="Times New Roman" w:hAnsi="Times New Roman" w:eastAsia="宋体" w:cs="Times New Roman"/>
          <w:color w:val="auto"/>
          <w:sz w:val="24"/>
          <w:szCs w:val="24"/>
          <w:lang w:eastAsia="zh-TW"/>
        </w:rPr>
        <w:t>（给药前0h（服药前1h内）和给药后</w:t>
      </w:r>
      <w:r>
        <w:rPr>
          <w:rFonts w:ascii="Times New Roman" w:hAnsi="Times New Roman" w:eastAsia="宋体" w:cs="Times New Roman"/>
          <w:color w:val="auto"/>
          <w:sz w:val="24"/>
          <w:szCs w:val="24"/>
        </w:rPr>
        <w:t>0.5、1.0、1.5、2.0、2.5、3.0、3.5、4.0、</w:t>
      </w:r>
      <w:r>
        <w:rPr>
          <w:rFonts w:hint="eastAsia" w:ascii="Times New Roman" w:hAnsi="Times New Roman" w:eastAsia="宋体" w:cs="Times New Roman"/>
          <w:color w:val="auto"/>
          <w:sz w:val="24"/>
          <w:szCs w:val="24"/>
        </w:rPr>
        <w:t>4.5、5.</w:t>
      </w:r>
      <w:r>
        <w:rPr>
          <w:rFonts w:ascii="Times New Roman" w:hAnsi="Times New Roman" w:eastAsia="宋体" w:cs="Times New Roman"/>
          <w:color w:val="auto"/>
          <w:sz w:val="24"/>
          <w:szCs w:val="24"/>
        </w:rPr>
        <w:t>0</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6.0、</w:t>
      </w:r>
      <w:r>
        <w:rPr>
          <w:rFonts w:hint="eastAsia" w:ascii="Times New Roman" w:hAnsi="Times New Roman" w:eastAsia="宋体" w:cs="Times New Roman"/>
          <w:color w:val="auto"/>
          <w:sz w:val="24"/>
          <w:szCs w:val="24"/>
        </w:rPr>
        <w:t>9</w:t>
      </w:r>
      <w:r>
        <w:rPr>
          <w:rFonts w:ascii="Times New Roman" w:hAnsi="Times New Roman" w:eastAsia="宋体" w:cs="Times New Roman"/>
          <w:color w:val="auto"/>
          <w:sz w:val="24"/>
          <w:szCs w:val="24"/>
        </w:rPr>
        <w:t>.0、12.0</w:t>
      </w:r>
      <w:r>
        <w:rPr>
          <w:rFonts w:ascii="Times New Roman" w:hAnsi="Times New Roman" w:eastAsia="宋体" w:cs="Times New Roman"/>
          <w:sz w:val="24"/>
          <w:szCs w:val="24"/>
        </w:rPr>
        <w:t>，共1</w:t>
      </w:r>
      <w:r>
        <w:rPr>
          <w:rFonts w:hint="eastAsia" w:ascii="Times New Roman" w:hAnsi="Times New Roman" w:eastAsia="宋体" w:cs="Times New Roman"/>
          <w:sz w:val="24"/>
          <w:szCs w:val="24"/>
        </w:rPr>
        <w:t>4</w:t>
      </w:r>
      <w:r>
        <w:rPr>
          <w:rFonts w:ascii="Times New Roman" w:hAnsi="Times New Roman" w:eastAsia="宋体" w:cs="Times New Roman"/>
          <w:sz w:val="24"/>
          <w:szCs w:val="24"/>
        </w:rPr>
        <w:t>个</w:t>
      </w:r>
      <w:r>
        <w:rPr>
          <w:rFonts w:hint="eastAsia" w:ascii="Times New Roman" w:hAnsi="Times New Roman" w:eastAsia="宋体" w:cs="Times New Roman"/>
          <w:sz w:val="24"/>
          <w:szCs w:val="24"/>
        </w:rPr>
        <w:t>采血</w:t>
      </w:r>
      <w:r>
        <w:rPr>
          <w:rFonts w:ascii="Times New Roman" w:hAnsi="Times New Roman" w:eastAsia="宋体" w:cs="Times New Roman"/>
          <w:sz w:val="24"/>
          <w:szCs w:val="24"/>
        </w:rPr>
        <w:t>点</w:t>
      </w:r>
      <w:r>
        <w:rPr>
          <w:rFonts w:ascii="Times New Roman" w:hAnsi="Times New Roman" w:eastAsia="宋体" w:cs="Times New Roman"/>
          <w:color w:val="auto"/>
          <w:sz w:val="24"/>
          <w:szCs w:val="24"/>
          <w:lang w:eastAsia="zh-TW"/>
        </w:rPr>
        <w:t>，每次采集静脉血约3ml</w:t>
      </w:r>
      <w:r>
        <w:rPr>
          <w:rFonts w:hint="eastAsia" w:ascii="Times New Roman" w:hAnsi="Times New Roman" w:eastAsia="宋体" w:cs="Times New Roman"/>
          <w:color w:val="auto"/>
          <w:sz w:val="24"/>
          <w:szCs w:val="24"/>
        </w:rPr>
        <w:t>；</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w:t>
      </w: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eastAsia="zh-TW"/>
        </w:rPr>
        <w:t>服药前</w:t>
      </w:r>
      <w:r>
        <w:rPr>
          <w:rFonts w:ascii="Times New Roman" w:hAnsi="Times New Roman" w:eastAsia="宋体" w:cs="Times New Roman"/>
          <w:color w:val="auto"/>
          <w:sz w:val="24"/>
          <w:szCs w:val="24"/>
          <w:lang w:eastAsia="zh-TW"/>
        </w:rPr>
        <w:t>1h内和服药后</w:t>
      </w:r>
      <w:r>
        <w:rPr>
          <w:rFonts w:ascii="Times New Roman" w:hAnsi="Times New Roman" w:eastAsia="宋体" w:cs="Times New Roman"/>
          <w:sz w:val="24"/>
          <w:szCs w:val="24"/>
        </w:rPr>
        <w:t>1±0.5h、3±0.5h、</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±0.5h</w:t>
      </w:r>
      <w:r>
        <w:rPr>
          <w:rFonts w:ascii="Times New Roman" w:hAnsi="Times New Roman" w:eastAsia="宋体" w:cs="Times New Roman"/>
          <w:color w:val="auto"/>
          <w:sz w:val="24"/>
          <w:szCs w:val="24"/>
          <w:lang w:eastAsia="zh-TW"/>
        </w:rPr>
        <w:t>，</w:t>
      </w:r>
      <w:r>
        <w:rPr>
          <w:rFonts w:hint="eastAsia" w:ascii="Times New Roman" w:hAnsi="Times New Roman" w:eastAsia="宋体" w:cs="宋体"/>
          <w:sz w:val="24"/>
        </w:rPr>
        <w:t>包括体温、脉搏及坐位血压</w:t>
      </w:r>
      <w:r>
        <w:rPr>
          <w:rFonts w:ascii="Times New Roman" w:hAnsi="Times New Roman" w:eastAsia="宋体" w:cs="Times New Roman"/>
          <w:color w:val="auto"/>
          <w:sz w:val="24"/>
          <w:szCs w:val="24"/>
          <w:lang w:eastAsia="zh-TW"/>
        </w:rPr>
        <w:t>）</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第9天（第二周期）</w:t>
      </w:r>
    </w:p>
    <w:p>
      <w:pPr>
        <w:pStyle w:val="109"/>
        <w:numPr>
          <w:ilvl w:val="0"/>
          <w:numId w:val="17"/>
        </w:numPr>
        <w:tabs>
          <w:tab w:val="left" w:pos="1134"/>
        </w:tabs>
        <w:autoSpaceDE w:val="0"/>
        <w:autoSpaceDN w:val="0"/>
        <w:adjustRightInd w:val="0"/>
        <w:ind w:left="1157"/>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w:t>
      </w:r>
      <w:r>
        <w:rPr>
          <w:rFonts w:ascii="Times New Roman" w:hAnsi="Times New Roman" w:eastAsia="宋体" w:cs="Times New Roman"/>
          <w:color w:val="auto"/>
          <w:sz w:val="24"/>
          <w:szCs w:val="24"/>
          <w:lang w:eastAsia="zh-TW"/>
        </w:rPr>
        <w:t>本（给药后24</w:t>
      </w:r>
      <w:r>
        <w:rPr>
          <w:rFonts w:ascii="Times New Roman" w:hAnsi="Times New Roman" w:eastAsia="宋体" w:cs="Times New Roman"/>
          <w:color w:val="auto"/>
          <w:sz w:val="24"/>
          <w:szCs w:val="24"/>
        </w:rPr>
        <w:t>.0</w:t>
      </w:r>
      <w:r>
        <w:rPr>
          <w:rFonts w:hint="eastAsia" w:ascii="Times New Roman" w:hAnsi="Times New Roman" w:eastAsia="宋体" w:cs="Times New Roman"/>
          <w:color w:val="auto"/>
          <w:sz w:val="24"/>
          <w:szCs w:val="24"/>
        </w:rPr>
        <w:t>、36.0</w:t>
      </w:r>
      <w:r>
        <w:rPr>
          <w:rFonts w:ascii="Times New Roman" w:hAnsi="Times New Roman" w:eastAsia="宋体" w:cs="Times New Roman"/>
          <w:color w:val="auto"/>
          <w:sz w:val="24"/>
          <w:szCs w:val="24"/>
          <w:lang w:eastAsia="zh-TW"/>
        </w:rPr>
        <w:t>h，共</w:t>
      </w:r>
      <w:r>
        <w:rPr>
          <w:rFonts w:hint="eastAsia" w:ascii="Times New Roman" w:hAnsi="Times New Roman" w:eastAsia="宋体" w:cs="Times New Roman"/>
          <w:color w:val="auto"/>
          <w:sz w:val="24"/>
          <w:szCs w:val="24"/>
        </w:rPr>
        <w:t>2</w:t>
      </w:r>
      <w:r>
        <w:rPr>
          <w:rFonts w:ascii="Times New Roman" w:hAnsi="Times New Roman" w:eastAsia="宋体" w:cs="Times New Roman"/>
          <w:color w:val="auto"/>
          <w:sz w:val="24"/>
          <w:szCs w:val="24"/>
          <w:lang w:eastAsia="zh-TW"/>
        </w:rPr>
        <w:t>个采血点，每次采集静脉血约3ml）；</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测量生命体征（服药后24±</w:t>
      </w:r>
      <w:r>
        <w:rPr>
          <w:rFonts w:ascii="Times New Roman" w:hAnsi="Times New Roman" w:eastAsia="宋体" w:cs="Times New Roman"/>
          <w:color w:val="auto"/>
          <w:sz w:val="24"/>
          <w:szCs w:val="24"/>
        </w:rPr>
        <w:t>1.0h</w:t>
      </w:r>
      <w:r>
        <w:rPr>
          <w:rFonts w:hint="eastAsia" w:ascii="Times New Roman" w:hAnsi="Times New Roman" w:eastAsia="宋体" w:cs="Times New Roman"/>
          <w:color w:val="auto"/>
          <w:sz w:val="24"/>
          <w:szCs w:val="24"/>
        </w:rPr>
        <w:t>、36</w:t>
      </w:r>
      <w:r>
        <w:rPr>
          <w:rFonts w:ascii="Times New Roman" w:hAnsi="Times New Roman" w:eastAsia="宋体" w:cs="Times New Roman"/>
          <w:color w:val="auto"/>
          <w:sz w:val="24"/>
          <w:szCs w:val="24"/>
          <w:lang w:eastAsia="zh-TW"/>
        </w:rPr>
        <w:t>±</w:t>
      </w:r>
      <w:r>
        <w:rPr>
          <w:rFonts w:ascii="Times New Roman" w:hAnsi="Times New Roman" w:eastAsia="宋体" w:cs="Times New Roman"/>
          <w:color w:val="auto"/>
          <w:sz w:val="24"/>
          <w:szCs w:val="24"/>
        </w:rPr>
        <w:t>1.0h</w:t>
      </w:r>
      <w:r>
        <w:rPr>
          <w:rFonts w:ascii="Times New Roman" w:hAnsi="Times New Roman" w:eastAsia="宋体" w:cs="Times New Roman"/>
          <w:color w:val="auto"/>
          <w:sz w:val="24"/>
          <w:szCs w:val="24"/>
          <w:lang w:eastAsia="zh-TW"/>
        </w:rPr>
        <w:t>，包括</w:t>
      </w:r>
      <w:r>
        <w:rPr>
          <w:rFonts w:hint="eastAsia" w:ascii="Times New Roman" w:hAnsi="Times New Roman" w:eastAsia="宋体" w:cs="宋体"/>
          <w:sz w:val="24"/>
        </w:rPr>
        <w:t>体温、脉搏及坐位血压</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8"/>
        </w:numPr>
        <w:autoSpaceDE w:val="0"/>
        <w:autoSpaceDN w:val="0"/>
        <w:adjustRightInd w:val="0"/>
        <w:ind w:left="0" w:firstLine="0"/>
        <w:contextualSpacing/>
        <w:rPr>
          <w:rFonts w:ascii="Times New Roman" w:hAnsi="Times New Roman" w:eastAsia="宋体" w:cs="Times New Roman"/>
          <w:color w:val="auto"/>
          <w:sz w:val="24"/>
          <w:szCs w:val="24"/>
          <w:lang w:val="zh-TW" w:eastAsia="zh-TW"/>
        </w:rPr>
      </w:pPr>
      <w:r>
        <w:rPr>
          <w:rFonts w:ascii="Times New Roman" w:hAnsi="Times New Roman" w:eastAsia="宋体" w:cs="Times New Roman"/>
          <w:color w:val="auto"/>
          <w:sz w:val="24"/>
          <w:szCs w:val="24"/>
          <w:lang w:val="zh-TW" w:eastAsia="zh-TW"/>
        </w:rPr>
        <w:t>第10天（第二周期）</w:t>
      </w:r>
    </w:p>
    <w:p>
      <w:pPr>
        <w:pStyle w:val="109"/>
        <w:numPr>
          <w:ilvl w:val="0"/>
          <w:numId w:val="17"/>
        </w:numPr>
        <w:tabs>
          <w:tab w:val="left" w:pos="1134"/>
        </w:tabs>
        <w:autoSpaceDE w:val="0"/>
        <w:autoSpaceDN w:val="0"/>
        <w:adjustRightInd w:val="0"/>
        <w:ind w:left="1157"/>
        <w:contextualSpacing/>
        <w:rPr>
          <w:rFonts w:ascii="Times New Roman" w:hAnsi="Times New Roman" w:eastAsia="宋体" w:cs="Times New Roman"/>
          <w:color w:val="auto"/>
          <w:sz w:val="24"/>
          <w:szCs w:val="24"/>
          <w:lang w:eastAsia="zh-TW"/>
        </w:rPr>
      </w:pPr>
      <w:bookmarkStart w:id="143" w:name="_Toc460500119"/>
      <w:bookmarkStart w:id="144" w:name="_Toc523500658"/>
      <w:bookmarkStart w:id="145" w:name="_Toc20848"/>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000000" w:themeColor="text1"/>
          <w:sz w:val="24"/>
          <w:szCs w:val="24"/>
          <w:lang w:eastAsia="zh-TW"/>
          <w14:textFill>
            <w14:solidFill>
              <w14:schemeClr w14:val="tx1"/>
            </w14:solidFill>
          </w14:textFill>
        </w:rPr>
        <w:t>按照设计时间点采集PK样</w:t>
      </w:r>
      <w:r>
        <w:rPr>
          <w:rFonts w:ascii="Times New Roman" w:hAnsi="Times New Roman" w:eastAsia="宋体" w:cs="Times New Roman"/>
          <w:color w:val="auto"/>
          <w:sz w:val="24"/>
          <w:szCs w:val="24"/>
          <w:lang w:eastAsia="zh-TW"/>
        </w:rPr>
        <w:t>本（给药</w:t>
      </w:r>
      <w:r>
        <w:rPr>
          <w:rFonts w:hint="eastAsia" w:ascii="Times New Roman" w:hAnsi="Times New Roman" w:eastAsia="宋体" w:cs="Times New Roman"/>
          <w:color w:val="auto"/>
          <w:sz w:val="24"/>
          <w:szCs w:val="24"/>
        </w:rPr>
        <w:t>后</w:t>
      </w:r>
      <w:r>
        <w:rPr>
          <w:rFonts w:ascii="Times New Roman" w:hAnsi="Times New Roman" w:eastAsia="宋体" w:cs="Times New Roman"/>
          <w:color w:val="auto"/>
          <w:sz w:val="24"/>
          <w:szCs w:val="24"/>
          <w:lang w:eastAsia="zh-TW"/>
        </w:rPr>
        <w:t>48</w:t>
      </w:r>
      <w:r>
        <w:rPr>
          <w:rFonts w:ascii="Times New Roman" w:hAnsi="Times New Roman" w:eastAsia="宋体" w:cs="Times New Roman"/>
          <w:color w:val="auto"/>
          <w:sz w:val="24"/>
          <w:szCs w:val="24"/>
        </w:rPr>
        <w:t>.0</w:t>
      </w:r>
      <w:r>
        <w:rPr>
          <w:rFonts w:ascii="Times New Roman" w:hAnsi="Times New Roman" w:eastAsia="宋体" w:cs="Times New Roman"/>
          <w:color w:val="auto"/>
          <w:sz w:val="24"/>
          <w:szCs w:val="24"/>
          <w:lang w:eastAsia="zh-TW"/>
        </w:rPr>
        <w:t>h，共1个采血时间点，每次采集静脉血约3ml）；</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hint="eastAsia" w:ascii="Times New Roman" w:hAnsi="Times New Roman" w:eastAsia="宋体" w:cs="Times New Roman"/>
          <w:color w:val="000000" w:themeColor="text1"/>
          <w:sz w:val="24"/>
          <w:szCs w:val="24"/>
          <w14:textFill>
            <w14:solidFill>
              <w14:schemeClr w14:val="tx1"/>
            </w14:solidFill>
          </w14:textFill>
        </w:rPr>
        <w:t>空腹和餐后试验均</w:t>
      </w:r>
      <w:r>
        <w:rPr>
          <w:rFonts w:ascii="Times New Roman" w:hAnsi="Times New Roman" w:eastAsia="宋体" w:cs="Times New Roman"/>
          <w:color w:val="auto"/>
          <w:sz w:val="24"/>
          <w:szCs w:val="24"/>
          <w:lang w:eastAsia="zh-TW"/>
        </w:rPr>
        <w:t>测量生命体征（服药后48</w:t>
      </w:r>
      <w:r>
        <w:rPr>
          <w:rFonts w:hint="eastAsia" w:ascii="Times New Roman" w:hAnsi="Times New Roman" w:eastAsia="宋体" w:cs="Times New Roman"/>
          <w:color w:val="auto"/>
          <w:sz w:val="24"/>
          <w:szCs w:val="24"/>
        </w:rPr>
        <w:t>±1.0</w:t>
      </w:r>
      <w:r>
        <w:rPr>
          <w:rFonts w:ascii="Times New Roman" w:hAnsi="Times New Roman" w:eastAsia="宋体" w:cs="Times New Roman"/>
          <w:color w:val="auto"/>
          <w:sz w:val="24"/>
          <w:szCs w:val="24"/>
        </w:rPr>
        <w:t>h</w:t>
      </w:r>
      <w:r>
        <w:rPr>
          <w:rFonts w:ascii="Times New Roman" w:hAnsi="Times New Roman" w:eastAsia="宋体" w:cs="Times New Roman"/>
          <w:color w:val="auto"/>
          <w:sz w:val="24"/>
          <w:szCs w:val="24"/>
          <w:lang w:eastAsia="zh-TW"/>
        </w:rPr>
        <w:t>，包括</w:t>
      </w:r>
      <w:r>
        <w:rPr>
          <w:rFonts w:hint="eastAsia" w:ascii="Times New Roman" w:hAnsi="Times New Roman" w:eastAsia="宋体" w:cs="宋体"/>
          <w:sz w:val="24"/>
        </w:rPr>
        <w:t>体温、脉搏及坐位血压</w:t>
      </w:r>
      <w:r>
        <w:rPr>
          <w:rFonts w:ascii="Times New Roman" w:hAnsi="Times New Roman" w:eastAsia="宋体" w:cs="Times New Roman"/>
          <w:color w:val="auto"/>
          <w:sz w:val="24"/>
          <w:szCs w:val="24"/>
          <w:lang w:eastAsia="zh-TW"/>
        </w:rPr>
        <w:t>），如有异常，研究医生及时判断有无临床意义，并做相应处理；</w:t>
      </w:r>
    </w:p>
    <w:p>
      <w:pPr>
        <w:pStyle w:val="109"/>
        <w:numPr>
          <w:ilvl w:val="0"/>
          <w:numId w:val="17"/>
        </w:numPr>
        <w:tabs>
          <w:tab w:val="left" w:pos="1134"/>
        </w:tabs>
        <w:autoSpaceDE w:val="0"/>
        <w:autoSpaceDN w:val="0"/>
        <w:adjustRightInd w:val="0"/>
        <w:ind w:left="1147" w:leftChars="300"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不良事件、合并用药和非药物治疗观察和记录。</w:t>
      </w:r>
    </w:p>
    <w:p>
      <w:pPr>
        <w:pStyle w:val="109"/>
        <w:numPr>
          <w:ilvl w:val="0"/>
          <w:numId w:val="17"/>
        </w:numPr>
        <w:tabs>
          <w:tab w:val="left" w:pos="1134"/>
        </w:tabs>
        <w:autoSpaceDE w:val="0"/>
        <w:autoSpaceDN w:val="0"/>
        <w:adjustRightInd w:val="0"/>
        <w:ind w:left="1133" w:leftChars="294" w:hanging="427" w:hangingChars="178"/>
        <w:contextualSpacing/>
        <w:rPr>
          <w:rFonts w:ascii="Times New Roman" w:hAnsi="Times New Roman" w:eastAsia="宋体" w:cs="Times New Roman"/>
          <w:color w:val="auto"/>
          <w:sz w:val="24"/>
          <w:szCs w:val="24"/>
          <w:lang w:eastAsia="zh-TW"/>
        </w:rPr>
      </w:pPr>
      <w:r>
        <w:rPr>
          <w:rFonts w:ascii="Times New Roman" w:hAnsi="Times New Roman" w:eastAsia="宋体" w:cs="Times New Roman"/>
          <w:color w:val="auto"/>
          <w:sz w:val="24"/>
          <w:szCs w:val="24"/>
          <w:lang w:eastAsia="zh-TW"/>
        </w:rPr>
        <w:t>受试者离开</w:t>
      </w:r>
      <w:r>
        <w:rPr>
          <w:rFonts w:hint="eastAsia" w:ascii="Times New Roman" w:hAnsi="Times New Roman" w:eastAsia="宋体" w:cs="Times New Roman"/>
          <w:color w:val="auto"/>
          <w:sz w:val="24"/>
          <w:szCs w:val="24"/>
        </w:rPr>
        <w:t>Ⅰ 期临床研究中心</w:t>
      </w:r>
      <w:r>
        <w:rPr>
          <w:rFonts w:ascii="Times New Roman" w:hAnsi="Times New Roman" w:eastAsia="宋体" w:cs="Times New Roman"/>
          <w:color w:val="auto"/>
          <w:sz w:val="24"/>
          <w:szCs w:val="24"/>
          <w:lang w:eastAsia="zh-TW"/>
        </w:rPr>
        <w:t>。</w:t>
      </w:r>
    </w:p>
    <w:p>
      <w:pPr>
        <w:pStyle w:val="3"/>
        <w:numPr>
          <w:ilvl w:val="3"/>
          <w:numId w:val="15"/>
        </w:numPr>
        <w:autoSpaceDE w:val="0"/>
        <w:autoSpaceDN w:val="0"/>
        <w:adjustRightInd w:val="0"/>
        <w:ind w:left="1077" w:hanging="1077"/>
        <w:contextualSpacing/>
        <w:outlineLvl w:val="3"/>
        <w:rPr>
          <w:rFonts w:ascii="Times New Roman" w:hAnsi="Times New Roman" w:eastAsia="宋体" w:cs="Times New Roman"/>
          <w:bCs/>
          <w:color w:val="auto"/>
          <w:sz w:val="24"/>
          <w:szCs w:val="24"/>
          <w:lang w:val="zh-TW" w:eastAsia="zh-TW"/>
        </w:rPr>
      </w:pPr>
      <w:bookmarkStart w:id="146" w:name="_Toc24887"/>
      <w:bookmarkStart w:id="147" w:name="_Toc19479"/>
      <w:bookmarkStart w:id="148" w:name="_Toc29987"/>
      <w:r>
        <w:rPr>
          <w:rFonts w:ascii="Times New Roman" w:hAnsi="Times New Roman" w:eastAsia="宋体" w:cs="Times New Roman"/>
          <w:bCs/>
          <w:color w:val="auto"/>
          <w:sz w:val="24"/>
          <w:szCs w:val="24"/>
          <w:lang w:val="zh-TW" w:eastAsia="zh-TW"/>
        </w:rPr>
        <w:t>试验结束体检</w:t>
      </w:r>
      <w:bookmarkEnd w:id="143"/>
      <w:bookmarkEnd w:id="144"/>
      <w:bookmarkEnd w:id="145"/>
      <w:bookmarkEnd w:id="146"/>
      <w:bookmarkEnd w:id="147"/>
      <w:bookmarkEnd w:id="148"/>
    </w:p>
    <w:p>
      <w:pPr>
        <w:widowControl w:val="0"/>
        <w:autoSpaceDE w:val="0"/>
        <w:autoSpaceDN w:val="0"/>
        <w:adjustRightInd w:val="0"/>
        <w:ind w:left="0" w:firstLine="480" w:firstLineChars="200"/>
        <w:contextualSpacing/>
        <w:rPr>
          <w:lang w:eastAsia="zh-CN"/>
        </w:rPr>
      </w:pPr>
      <w:r>
        <w:rPr>
          <w:lang w:eastAsia="zh-CN"/>
        </w:rPr>
        <w:t>第二周期</w:t>
      </w:r>
      <w:r>
        <w:rPr>
          <w:rFonts w:hint="eastAsia"/>
          <w:lang w:eastAsia="zh-CN"/>
        </w:rPr>
        <w:t>完成血样采集的当天，安排受试者进行</w:t>
      </w:r>
      <w:r>
        <w:rPr>
          <w:lang w:eastAsia="zh-CN"/>
        </w:rPr>
        <w:t>体格检查、实验室检查、</w:t>
      </w:r>
      <w:r>
        <w:rPr>
          <w:rFonts w:hint="eastAsia"/>
          <w:lang w:eastAsia="zh-CN"/>
        </w:rPr>
        <w:t>12-导联</w:t>
      </w:r>
      <w:r>
        <w:rPr>
          <w:lang w:eastAsia="zh-CN"/>
        </w:rPr>
        <w:t>心电图检查等</w:t>
      </w:r>
      <w:r>
        <w:rPr>
          <w:rFonts w:hint="eastAsia"/>
          <w:lang w:eastAsia="zh-CN"/>
        </w:rPr>
        <w:t>，</w:t>
      </w:r>
      <w:r>
        <w:rPr>
          <w:rFonts w:hint="eastAsia" w:ascii="Times New Roman" w:hAnsi="Times New Roman" w:cs="Times New Roman" w:eastAsiaTheme="minorEastAsia"/>
          <w:color w:val="auto"/>
          <w:kern w:val="0"/>
          <w:sz w:val="24"/>
          <w:szCs w:val="24"/>
          <w:lang w:val="en-US" w:eastAsia="zh-CN"/>
        </w:rPr>
        <w:t>服药后提前出组的受试者</w:t>
      </w:r>
      <w:r>
        <w:rPr>
          <w:rFonts w:hint="eastAsia" w:cs="Times New Roman" w:eastAsiaTheme="minorEastAsia"/>
          <w:color w:val="auto"/>
          <w:kern w:val="0"/>
          <w:sz w:val="24"/>
          <w:szCs w:val="24"/>
          <w:lang w:val="en-US" w:eastAsia="zh-CN"/>
        </w:rPr>
        <w:t>也</w:t>
      </w:r>
      <w:r>
        <w:rPr>
          <w:rFonts w:hint="eastAsia" w:ascii="Times New Roman" w:hAnsi="Times New Roman" w:cs="Times New Roman" w:eastAsiaTheme="minorEastAsia"/>
          <w:color w:val="auto"/>
          <w:kern w:val="0"/>
          <w:sz w:val="24"/>
          <w:szCs w:val="24"/>
          <w:lang w:val="en-US" w:eastAsia="zh-CN"/>
        </w:rPr>
        <w:t>应</w:t>
      </w:r>
      <w:r>
        <w:rPr>
          <w:rFonts w:hint="eastAsia" w:cs="Times New Roman" w:eastAsiaTheme="minorEastAsia"/>
          <w:color w:val="auto"/>
          <w:kern w:val="0"/>
          <w:sz w:val="24"/>
          <w:szCs w:val="24"/>
          <w:lang w:val="en-US" w:eastAsia="zh-CN"/>
        </w:rPr>
        <w:t>在出组当天完成</w:t>
      </w:r>
      <w:r>
        <w:rPr>
          <w:rFonts w:hint="eastAsia" w:ascii="Times New Roman" w:hAnsi="Times New Roman" w:cs="Times New Roman" w:eastAsiaTheme="minorEastAsia"/>
          <w:color w:val="auto"/>
          <w:kern w:val="0"/>
          <w:sz w:val="24"/>
          <w:szCs w:val="24"/>
          <w:lang w:val="en-US" w:eastAsia="zh-CN"/>
        </w:rPr>
        <w:t>全部的安全性检查项目</w:t>
      </w:r>
      <w:r>
        <w:rPr>
          <w:lang w:eastAsia="zh-CN"/>
        </w:rPr>
        <w:t>；如果受试者在研究结束后仍然有未解决的不良事件/反应、具有临床意义的体检异常和/或实验室检查异常，应当安排相应的随访</w:t>
      </w:r>
      <w:r>
        <w:rPr>
          <w:rFonts w:hint="eastAsia"/>
          <w:lang w:eastAsia="zh-CN"/>
        </w:rPr>
        <w:t>；</w:t>
      </w:r>
      <w:r>
        <w:rPr>
          <w:lang w:eastAsia="zh-CN"/>
        </w:rPr>
        <w:t>受试者出组后（包括提前出组）后一周内若发生后续的不良事件，</w:t>
      </w:r>
      <w:r>
        <w:rPr>
          <w:rFonts w:hint="eastAsia"/>
          <w:lang w:eastAsia="zh-CN"/>
        </w:rPr>
        <w:t>应主动告知研究者</w:t>
      </w:r>
      <w:r>
        <w:rPr>
          <w:lang w:eastAsia="zh-CN"/>
        </w:rPr>
        <w:t>。</w:t>
      </w:r>
    </w:p>
    <w:p>
      <w:pPr>
        <w:widowControl w:val="0"/>
        <w:autoSpaceDE w:val="0"/>
        <w:autoSpaceDN w:val="0"/>
        <w:adjustRightInd w:val="0"/>
        <w:ind w:left="0" w:firstLine="480" w:firstLineChars="200"/>
        <w:contextualSpacing/>
        <w:rPr>
          <w:lang w:eastAsia="zh-CN"/>
        </w:rPr>
      </w:pPr>
      <w:r>
        <w:rPr>
          <w:rFonts w:hint="eastAsia"/>
          <w:lang w:eastAsia="zh-CN"/>
        </w:rPr>
        <w:t>完成血样采集</w:t>
      </w:r>
      <w:r>
        <w:rPr>
          <w:lang w:eastAsia="zh-CN"/>
        </w:rPr>
        <w:t>后安全性观察包括以下项目：</w:t>
      </w:r>
    </w:p>
    <w:p>
      <w:pPr>
        <w:pStyle w:val="96"/>
        <w:widowControl w:val="0"/>
        <w:numPr>
          <w:ilvl w:val="0"/>
          <w:numId w:val="19"/>
        </w:numPr>
        <w:tabs>
          <w:tab w:val="left" w:pos="993"/>
        </w:tabs>
        <w:autoSpaceDE w:val="0"/>
        <w:autoSpaceDN w:val="0"/>
        <w:adjustRightInd w:val="0"/>
        <w:ind w:left="600" w:leftChars="250" w:firstLineChars="0"/>
        <w:contextualSpacing/>
        <w:textAlignment w:val="bottom"/>
        <w:rPr>
          <w:sz w:val="24"/>
          <w:szCs w:val="24"/>
        </w:rPr>
      </w:pPr>
      <w:r>
        <w:rPr>
          <w:sz w:val="24"/>
          <w:szCs w:val="24"/>
        </w:rPr>
        <w:t>生命体征（包括体温</w:t>
      </w:r>
      <w:r>
        <w:rPr>
          <w:rFonts w:hint="eastAsia"/>
          <w:sz w:val="24"/>
          <w:szCs w:val="24"/>
        </w:rPr>
        <w:t>、</w:t>
      </w:r>
      <w:r>
        <w:rPr>
          <w:sz w:val="24"/>
          <w:szCs w:val="24"/>
        </w:rPr>
        <w:t>脉搏</w:t>
      </w:r>
      <w:r>
        <w:rPr>
          <w:rFonts w:hint="eastAsia"/>
          <w:sz w:val="24"/>
          <w:szCs w:val="24"/>
        </w:rPr>
        <w:t>及</w:t>
      </w:r>
      <w:r>
        <w:rPr>
          <w:sz w:val="24"/>
          <w:szCs w:val="24"/>
        </w:rPr>
        <w:t>坐位血压）；</w:t>
      </w:r>
    </w:p>
    <w:p>
      <w:pPr>
        <w:pStyle w:val="96"/>
        <w:widowControl w:val="0"/>
        <w:numPr>
          <w:ilvl w:val="0"/>
          <w:numId w:val="19"/>
        </w:numPr>
        <w:tabs>
          <w:tab w:val="left" w:pos="993"/>
        </w:tabs>
        <w:autoSpaceDE w:val="0"/>
        <w:autoSpaceDN w:val="0"/>
        <w:adjustRightInd w:val="0"/>
        <w:ind w:left="1021" w:hanging="482" w:firstLineChars="0"/>
        <w:contextualSpacing/>
        <w:textAlignment w:val="bottom"/>
        <w:rPr>
          <w:sz w:val="24"/>
          <w:szCs w:val="24"/>
        </w:rPr>
      </w:pPr>
      <w:r>
        <w:rPr>
          <w:sz w:val="24"/>
          <w:szCs w:val="24"/>
        </w:rPr>
        <w:t>体格检查；</w:t>
      </w:r>
    </w:p>
    <w:p>
      <w:pPr>
        <w:pStyle w:val="96"/>
        <w:widowControl w:val="0"/>
        <w:numPr>
          <w:ilvl w:val="0"/>
          <w:numId w:val="19"/>
        </w:numPr>
        <w:tabs>
          <w:tab w:val="left" w:pos="993"/>
        </w:tabs>
        <w:autoSpaceDE w:val="0"/>
        <w:autoSpaceDN w:val="0"/>
        <w:adjustRightInd w:val="0"/>
        <w:ind w:left="1021" w:hanging="482" w:firstLineChars="0"/>
        <w:contextualSpacing/>
        <w:textAlignment w:val="bottom"/>
        <w:rPr>
          <w:sz w:val="24"/>
          <w:szCs w:val="24"/>
        </w:rPr>
      </w:pPr>
      <w:r>
        <w:rPr>
          <w:sz w:val="24"/>
          <w:szCs w:val="24"/>
        </w:rPr>
        <w:t>12-导联心电图；</w:t>
      </w:r>
    </w:p>
    <w:p>
      <w:pPr>
        <w:pStyle w:val="96"/>
        <w:widowControl w:val="0"/>
        <w:numPr>
          <w:ilvl w:val="0"/>
          <w:numId w:val="19"/>
        </w:numPr>
        <w:tabs>
          <w:tab w:val="left" w:pos="993"/>
        </w:tabs>
        <w:autoSpaceDE w:val="0"/>
        <w:autoSpaceDN w:val="0"/>
        <w:adjustRightInd w:val="0"/>
        <w:ind w:left="1021" w:hanging="482" w:firstLineChars="0"/>
        <w:contextualSpacing/>
        <w:textAlignment w:val="bottom"/>
        <w:rPr>
          <w:sz w:val="24"/>
          <w:szCs w:val="24"/>
        </w:rPr>
      </w:pPr>
      <w:r>
        <w:rPr>
          <w:sz w:val="24"/>
          <w:szCs w:val="24"/>
        </w:rPr>
        <w:t>血常规</w:t>
      </w:r>
      <w:r>
        <w:rPr>
          <w:rFonts w:hint="eastAsia"/>
          <w:sz w:val="24"/>
          <w:szCs w:val="24"/>
        </w:rPr>
        <w:t>、</w:t>
      </w:r>
      <w:r>
        <w:rPr>
          <w:sz w:val="24"/>
          <w:szCs w:val="24"/>
        </w:rPr>
        <w:t>尿常规：检查项目同筛选期；</w:t>
      </w:r>
    </w:p>
    <w:p>
      <w:pPr>
        <w:pStyle w:val="96"/>
        <w:widowControl w:val="0"/>
        <w:numPr>
          <w:ilvl w:val="0"/>
          <w:numId w:val="19"/>
        </w:numPr>
        <w:tabs>
          <w:tab w:val="left" w:pos="993"/>
        </w:tabs>
        <w:autoSpaceDE w:val="0"/>
        <w:autoSpaceDN w:val="0"/>
        <w:adjustRightInd w:val="0"/>
        <w:ind w:left="1021" w:hanging="482" w:firstLineChars="0"/>
        <w:contextualSpacing/>
        <w:textAlignment w:val="bottom"/>
        <w:rPr>
          <w:sz w:val="24"/>
          <w:szCs w:val="24"/>
        </w:rPr>
      </w:pPr>
      <w:r>
        <w:rPr>
          <w:sz w:val="24"/>
          <w:szCs w:val="24"/>
        </w:rPr>
        <w:t>血生化检查：检查项目同筛选期；</w:t>
      </w:r>
    </w:p>
    <w:p>
      <w:pPr>
        <w:pStyle w:val="96"/>
        <w:widowControl w:val="0"/>
        <w:numPr>
          <w:ilvl w:val="0"/>
          <w:numId w:val="19"/>
        </w:numPr>
        <w:tabs>
          <w:tab w:val="left" w:pos="993"/>
        </w:tabs>
        <w:autoSpaceDE w:val="0"/>
        <w:autoSpaceDN w:val="0"/>
        <w:adjustRightInd w:val="0"/>
        <w:ind w:left="1021" w:hanging="482" w:firstLineChars="0"/>
        <w:contextualSpacing/>
        <w:textAlignment w:val="bottom"/>
        <w:rPr>
          <w:sz w:val="24"/>
          <w:szCs w:val="24"/>
        </w:rPr>
      </w:pPr>
      <w:r>
        <w:rPr>
          <w:sz w:val="24"/>
          <w:szCs w:val="24"/>
        </w:rPr>
        <w:t>血妊娠检查（仅育龄期女性）。</w:t>
      </w:r>
    </w:p>
    <w:p>
      <w:pPr>
        <w:pStyle w:val="69"/>
        <w:numPr>
          <w:ilvl w:val="2"/>
          <w:numId w:val="0"/>
        </w:numPr>
        <w:autoSpaceDE w:val="0"/>
        <w:autoSpaceDN w:val="0"/>
        <w:snapToGrid/>
        <w:spacing w:line="240" w:lineRule="auto"/>
        <w:contextualSpacing/>
        <w:rPr>
          <w:rFonts w:eastAsiaTheme="minorEastAsia"/>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rPr>
      </w:pPr>
      <w:bookmarkStart w:id="149" w:name="_Toc14100"/>
      <w:bookmarkStart w:id="150" w:name="_Toc460500107"/>
      <w:bookmarkStart w:id="151" w:name="_Toc521584564"/>
      <w:bookmarkStart w:id="152" w:name="_Toc460952488"/>
      <w:bookmarkStart w:id="153" w:name="_Toc23028"/>
      <w:r>
        <w:rPr>
          <w:rFonts w:hint="eastAsia" w:ascii="Times New Roman" w:hAnsi="Times New Roman" w:eastAsiaTheme="minorEastAsia"/>
          <w:color w:val="auto"/>
          <w:sz w:val="24"/>
          <w:szCs w:val="24"/>
          <w:lang w:val="en-US" w:eastAsia="zh-CN"/>
        </w:rPr>
        <w:t xml:space="preserve">3  </w:t>
      </w:r>
      <w:r>
        <w:rPr>
          <w:rFonts w:ascii="Times New Roman" w:hAnsi="Times New Roman" w:eastAsiaTheme="minorEastAsia"/>
          <w:color w:val="auto"/>
          <w:sz w:val="24"/>
          <w:szCs w:val="24"/>
          <w:lang w:val="zh-TW" w:eastAsia="zh-TW"/>
        </w:rPr>
        <w:t>受试者选择</w:t>
      </w:r>
      <w:bookmarkEnd w:id="149"/>
      <w:bookmarkEnd w:id="150"/>
      <w:bookmarkEnd w:id="151"/>
      <w:bookmarkEnd w:id="152"/>
      <w:bookmarkEnd w:id="153"/>
    </w:p>
    <w:p>
      <w:pPr>
        <w:pStyle w:val="4"/>
        <w:keepNext w:val="0"/>
        <w:keepLines w:val="0"/>
        <w:widowControl w:val="0"/>
        <w:numPr>
          <w:ilvl w:val="1"/>
          <w:numId w:val="20"/>
        </w:numPr>
        <w:autoSpaceDE w:val="0"/>
        <w:autoSpaceDN w:val="0"/>
        <w:adjustRightInd w:val="0"/>
        <w:spacing w:before="0" w:after="0" w:line="360" w:lineRule="auto"/>
        <w:ind w:left="527" w:hanging="527"/>
        <w:contextualSpacing/>
        <w:rPr>
          <w:rFonts w:ascii="Times New Roman" w:hAnsi="Times New Roman" w:eastAsiaTheme="minorEastAsia"/>
          <w:bCs w:val="0"/>
          <w:sz w:val="24"/>
          <w:szCs w:val="24"/>
          <w:lang w:eastAsia="zh-CN"/>
        </w:rPr>
      </w:pPr>
      <w:bookmarkStart w:id="154" w:name="_Toc521584565"/>
      <w:bookmarkStart w:id="155" w:name="_Toc460500108"/>
      <w:bookmarkStart w:id="156" w:name="_Toc460952489"/>
      <w:bookmarkStart w:id="157" w:name="_Toc16830"/>
      <w:bookmarkStart w:id="158" w:name="_Toc22359"/>
      <w:r>
        <w:rPr>
          <w:rFonts w:ascii="Times New Roman" w:hAnsi="Times New Roman" w:eastAsiaTheme="minorEastAsia"/>
          <w:bCs w:val="0"/>
          <w:sz w:val="24"/>
          <w:szCs w:val="24"/>
          <w:lang w:val="zh-TW" w:eastAsia="zh-CN"/>
        </w:rPr>
        <w:t>受试者</w:t>
      </w:r>
      <w:r>
        <w:rPr>
          <w:rFonts w:ascii="Times New Roman" w:hAnsi="Times New Roman" w:eastAsiaTheme="minorEastAsia"/>
          <w:bCs w:val="0"/>
          <w:sz w:val="24"/>
          <w:szCs w:val="24"/>
          <w:lang w:val="zh-TW" w:eastAsia="zh-TW"/>
        </w:rPr>
        <w:t>入选标准（满足全部入选标准方可入选）</w:t>
      </w:r>
      <w:bookmarkEnd w:id="154"/>
      <w:bookmarkEnd w:id="155"/>
      <w:bookmarkEnd w:id="156"/>
      <w:bookmarkEnd w:id="157"/>
      <w:bookmarkEnd w:id="158"/>
    </w:p>
    <w:p>
      <w:pPr>
        <w:pStyle w:val="85"/>
        <w:widowControl w:val="0"/>
        <w:ind w:left="0" w:firstLine="0" w:firstLineChars="0"/>
        <w:contextualSpacing/>
        <w:rPr>
          <w:lang w:val="zh-TW" w:eastAsia="zh-CN"/>
        </w:rPr>
      </w:pPr>
      <w:bookmarkStart w:id="159" w:name="_Toc521584566"/>
      <w:bookmarkStart w:id="160" w:name="_Toc460952490"/>
      <w:bookmarkStart w:id="161" w:name="_Toc460500109"/>
      <w:bookmarkStart w:id="162" w:name="_Toc1870"/>
      <w:r>
        <w:rPr>
          <w:rFonts w:hint="eastAsia"/>
          <w:lang w:val="zh-TW" w:eastAsia="zh-CN"/>
        </w:rPr>
        <w:t>（</w:t>
      </w:r>
      <w:r>
        <w:rPr>
          <w:rFonts w:hint="eastAsia"/>
          <w:lang w:eastAsia="zh-CN"/>
        </w:rPr>
        <w:t>1</w:t>
      </w:r>
      <w:r>
        <w:rPr>
          <w:rFonts w:hint="eastAsia"/>
          <w:lang w:val="zh-TW" w:eastAsia="zh-CN"/>
        </w:rPr>
        <w:t>）</w:t>
      </w:r>
      <w:r>
        <w:rPr>
          <w:lang w:val="zh-TW" w:eastAsia="zh-CN"/>
        </w:rPr>
        <w:t>年龄为18~65周岁的健康</w:t>
      </w:r>
      <w:r>
        <w:rPr>
          <w:rFonts w:hint="eastAsia"/>
          <w:lang w:eastAsia="zh-CN"/>
        </w:rPr>
        <w:t>人</w:t>
      </w:r>
      <w:r>
        <w:rPr>
          <w:lang w:val="zh-TW" w:eastAsia="zh-CN"/>
        </w:rPr>
        <w:t>，</w:t>
      </w:r>
      <w:r>
        <w:rPr>
          <w:rFonts w:hint="eastAsia"/>
          <w:lang w:eastAsia="zh-CN"/>
        </w:rPr>
        <w:t>男女皆可</w:t>
      </w:r>
      <w:r>
        <w:rPr>
          <w:lang w:val="zh-TW" w:eastAsia="zh-CN"/>
        </w:rPr>
        <w:t>；</w:t>
      </w:r>
    </w:p>
    <w:p>
      <w:pPr>
        <w:pStyle w:val="85"/>
        <w:widowControl w:val="0"/>
        <w:numPr>
          <w:ilvl w:val="0"/>
          <w:numId w:val="3"/>
        </w:numPr>
        <w:ind w:left="0" w:firstLine="0" w:firstLineChars="0"/>
        <w:contextualSpacing/>
        <w:rPr>
          <w:lang w:val="zh-TW" w:eastAsia="zh-CN"/>
        </w:rPr>
      </w:pPr>
      <w:r>
        <w:rPr>
          <w:lang w:val="zh-TW" w:eastAsia="zh-CN"/>
        </w:rPr>
        <w:t>男性体重≥50.0 kg，女性体重≥45.0 kg；体重指数（BMI）在1</w:t>
      </w:r>
      <w:r>
        <w:rPr>
          <w:rFonts w:hint="eastAsia"/>
          <w:lang w:eastAsia="zh-CN"/>
        </w:rPr>
        <w:t>8</w:t>
      </w:r>
      <w:r>
        <w:rPr>
          <w:lang w:val="zh-TW" w:eastAsia="zh-CN"/>
        </w:rPr>
        <w:t>.</w:t>
      </w:r>
      <w:r>
        <w:rPr>
          <w:rFonts w:hint="eastAsia"/>
          <w:lang w:eastAsia="zh-CN"/>
        </w:rPr>
        <w:t>5</w:t>
      </w:r>
      <w:r>
        <w:rPr>
          <w:lang w:val="zh-TW" w:eastAsia="zh-CN"/>
        </w:rPr>
        <w:t>~26.0 kg/m</w:t>
      </w:r>
      <w:r>
        <w:rPr>
          <w:vertAlign w:val="superscript"/>
          <w:lang w:val="zh-TW" w:eastAsia="zh-CN"/>
        </w:rPr>
        <w:t>2</w:t>
      </w:r>
      <w:r>
        <w:rPr>
          <w:lang w:val="zh-TW" w:eastAsia="zh-CN"/>
        </w:rPr>
        <w:t>范围内（包括临界值）；</w:t>
      </w:r>
    </w:p>
    <w:p>
      <w:pPr>
        <w:pStyle w:val="85"/>
        <w:widowControl w:val="0"/>
        <w:numPr>
          <w:ilvl w:val="0"/>
          <w:numId w:val="3"/>
        </w:numPr>
        <w:ind w:left="0" w:firstLine="0" w:firstLineChars="0"/>
        <w:contextualSpacing/>
        <w:rPr>
          <w:lang w:val="zh-TW" w:eastAsia="zh-CN"/>
        </w:rPr>
      </w:pPr>
      <w:r>
        <w:rPr>
          <w:lang w:val="zh-TW" w:eastAsia="zh-CN"/>
        </w:rPr>
        <w:t>在未来</w:t>
      </w:r>
      <w:r>
        <w:rPr>
          <w:rFonts w:hint="eastAsia"/>
          <w:lang w:eastAsia="zh-CN"/>
        </w:rPr>
        <w:t>3</w:t>
      </w:r>
      <w:r>
        <w:rPr>
          <w:lang w:val="zh-TW" w:eastAsia="zh-CN"/>
        </w:rPr>
        <w:t>个月内无</w:t>
      </w:r>
      <w:r>
        <w:rPr>
          <w:rFonts w:hint="eastAsia"/>
          <w:lang w:eastAsia="zh-CN"/>
        </w:rPr>
        <w:t>生育</w:t>
      </w:r>
      <w:r>
        <w:rPr>
          <w:lang w:val="zh-TW" w:eastAsia="zh-CN"/>
        </w:rPr>
        <w:t>计划且自愿采取有效避孕措施且无捐精、捐卵计划。</w:t>
      </w:r>
    </w:p>
    <w:p>
      <w:pPr>
        <w:pStyle w:val="85"/>
        <w:widowControl w:val="0"/>
        <w:numPr>
          <w:ilvl w:val="0"/>
          <w:numId w:val="3"/>
        </w:numPr>
        <w:ind w:left="0" w:firstLine="0" w:firstLineChars="0"/>
        <w:contextualSpacing/>
        <w:rPr>
          <w:lang w:val="zh-TW" w:eastAsia="zh-CN"/>
        </w:rPr>
      </w:pPr>
      <w:r>
        <w:rPr>
          <w:lang w:val="zh-TW" w:eastAsia="zh-CN"/>
        </w:rPr>
        <w:t>充分了解试验目的、性质、方法以及可能发生的不良反应，自愿作为受试者，并在任何研究程序开始前签署知情同意书；</w:t>
      </w:r>
    </w:p>
    <w:p>
      <w:pPr>
        <w:pStyle w:val="4"/>
        <w:keepNext w:val="0"/>
        <w:keepLines w:val="0"/>
        <w:widowControl w:val="0"/>
        <w:numPr>
          <w:ilvl w:val="1"/>
          <w:numId w:val="20"/>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CN"/>
        </w:rPr>
      </w:pPr>
      <w:bookmarkStart w:id="163" w:name="_Toc31961"/>
      <w:r>
        <w:rPr>
          <w:rFonts w:ascii="Times New Roman" w:hAnsi="Times New Roman" w:eastAsiaTheme="minorEastAsia"/>
          <w:sz w:val="24"/>
          <w:szCs w:val="24"/>
          <w:lang w:val="zh-TW" w:eastAsia="zh-CN"/>
        </w:rPr>
        <w:t>排除标准（满足1项排除标准即排除）</w:t>
      </w:r>
      <w:bookmarkEnd w:id="159"/>
      <w:bookmarkEnd w:id="160"/>
      <w:bookmarkEnd w:id="161"/>
      <w:bookmarkEnd w:id="162"/>
      <w:bookmarkEnd w:id="163"/>
    </w:p>
    <w:p>
      <w:pPr>
        <w:widowControl w:val="0"/>
        <w:numPr>
          <w:ilvl w:val="0"/>
          <w:numId w:val="21"/>
        </w:numPr>
        <w:adjustRightInd w:val="0"/>
        <w:spacing w:line="348" w:lineRule="auto"/>
        <w:ind w:left="425" w:leftChars="0" w:hanging="425" w:firstLineChars="0"/>
        <w:contextualSpacing/>
        <w:rPr>
          <w:sz w:val="24"/>
          <w:szCs w:val="24"/>
          <w:lang w:eastAsia="zh-CN"/>
        </w:rPr>
      </w:pPr>
      <w:bookmarkStart w:id="164" w:name="_Toc521584567"/>
      <w:bookmarkStart w:id="165" w:name="_Toc460500110"/>
      <w:bookmarkStart w:id="166" w:name="_Toc9831"/>
      <w:bookmarkStart w:id="167" w:name="_Toc4030"/>
      <w:bookmarkStart w:id="168" w:name="_Toc460952491"/>
      <w:r>
        <w:rPr>
          <w:rFonts w:hint="eastAsia"/>
          <w:sz w:val="24"/>
          <w:szCs w:val="24"/>
          <w:lang w:eastAsia="zh-CN"/>
        </w:rPr>
        <w:t>存在任何</w:t>
      </w:r>
      <w:r>
        <w:rPr>
          <w:rFonts w:hint="eastAsia"/>
          <w:sz w:val="24"/>
          <w:szCs w:val="24"/>
          <w:lang w:val="zh-TW" w:eastAsia="zh-CN"/>
        </w:rPr>
        <w:t>血液循环系统、消化系统、泌尿系统、呼吸系统、神经系统、免疫系统、内分泌系统、精神异常或代谢异常等任何慢性或严重疾病史，或能干扰试验结果的任何其他疾病，或3个月内的手术史；</w:t>
      </w:r>
    </w:p>
    <w:p>
      <w:pPr>
        <w:numPr>
          <w:ilvl w:val="0"/>
          <w:numId w:val="21"/>
        </w:numPr>
        <w:ind w:left="425" w:leftChars="0" w:hanging="425" w:firstLineChars="0"/>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rPr>
        <w:t>既往或现有视神经炎或其他眼科疾病者，如青光眼，白内障，角膜炎，玻璃体混浊，眼压高</w:t>
      </w:r>
      <w:r>
        <w:rPr>
          <w:rFonts w:hint="eastAsia" w:ascii="宋体" w:hAnsi="宋体" w:eastAsia="宋体" w:cs="宋体"/>
          <w:color w:val="FF0000"/>
          <w:sz w:val="24"/>
          <w:szCs w:val="24"/>
          <w:lang w:val="en-US" w:eastAsia="zh-CN"/>
        </w:rPr>
        <w:t>等；</w:t>
      </w:r>
    </w:p>
    <w:p>
      <w:pPr>
        <w:numPr>
          <w:ilvl w:val="0"/>
          <w:numId w:val="21"/>
        </w:numPr>
        <w:ind w:left="425" w:leftChars="0" w:hanging="425" w:firstLineChars="0"/>
        <w:rPr>
          <w:color w:val="FF0000"/>
          <w:sz w:val="24"/>
          <w:szCs w:val="24"/>
          <w:lang w:eastAsia="zh-CN"/>
        </w:rPr>
      </w:pPr>
      <w:r>
        <w:rPr>
          <w:rFonts w:hint="eastAsia" w:ascii="宋体" w:hAnsi="宋体" w:eastAsia="宋体" w:cs="宋体"/>
          <w:color w:val="FF0000"/>
          <w:sz w:val="24"/>
          <w:szCs w:val="24"/>
        </w:rPr>
        <w:t>患有痛风或有痛风病史者；</w:t>
      </w:r>
    </w:p>
    <w:p>
      <w:pPr>
        <w:widowControl w:val="0"/>
        <w:numPr>
          <w:ilvl w:val="0"/>
          <w:numId w:val="21"/>
        </w:numPr>
        <w:adjustRightInd w:val="0"/>
        <w:spacing w:line="348" w:lineRule="auto"/>
        <w:ind w:left="425" w:leftChars="0" w:hanging="425" w:firstLineChars="0"/>
        <w:contextualSpacing/>
        <w:rPr>
          <w:sz w:val="24"/>
          <w:szCs w:val="24"/>
          <w:lang w:val="zh-TW" w:eastAsia="zh-CN"/>
        </w:rPr>
      </w:pPr>
      <w:r>
        <w:rPr>
          <w:rFonts w:hint="eastAsia"/>
          <w:sz w:val="24"/>
          <w:szCs w:val="24"/>
          <w:lang w:val="en-US" w:eastAsia="zh-CN"/>
        </w:rPr>
        <w:t>存在研究者判定为有临床意义的食物、药物过敏或其他变态反应性疾病史（哮喘、荨麻疹、湿疹性皮炎等），尤其是对试验药物过敏者</w:t>
      </w:r>
      <w:r>
        <w:rPr>
          <w:rFonts w:hint="eastAsia"/>
          <w:sz w:val="24"/>
          <w:szCs w:val="24"/>
          <w:lang w:val="zh-TW" w:eastAsia="zh-CN"/>
        </w:rPr>
        <w:t>；</w:t>
      </w:r>
    </w:p>
    <w:p>
      <w:pPr>
        <w:widowControl w:val="0"/>
        <w:numPr>
          <w:ilvl w:val="0"/>
          <w:numId w:val="21"/>
        </w:numPr>
        <w:adjustRightInd w:val="0"/>
        <w:spacing w:line="348" w:lineRule="auto"/>
        <w:ind w:left="425" w:leftChars="0" w:hanging="425" w:firstLineChars="0"/>
        <w:contextualSpacing/>
        <w:rPr>
          <w:sz w:val="24"/>
          <w:szCs w:val="24"/>
          <w:lang w:eastAsia="zh-CN"/>
        </w:rPr>
      </w:pPr>
      <w:r>
        <w:rPr>
          <w:sz w:val="24"/>
          <w:szCs w:val="24"/>
          <w:lang w:eastAsia="zh-CN"/>
        </w:rPr>
        <w:t>筛选前3个月内参加过或正在参加其它药物临床试验者；</w:t>
      </w:r>
    </w:p>
    <w:p>
      <w:pPr>
        <w:widowControl w:val="0"/>
        <w:numPr>
          <w:ilvl w:val="0"/>
          <w:numId w:val="21"/>
        </w:numPr>
        <w:adjustRightInd w:val="0"/>
        <w:spacing w:line="348" w:lineRule="auto"/>
        <w:ind w:left="425" w:leftChars="0" w:hanging="425" w:firstLineChars="0"/>
        <w:contextualSpacing/>
        <w:rPr>
          <w:sz w:val="24"/>
          <w:szCs w:val="24"/>
          <w:lang w:eastAsia="zh-CN"/>
        </w:rPr>
      </w:pPr>
      <w:r>
        <w:rPr>
          <w:sz w:val="24"/>
          <w:szCs w:val="24"/>
          <w:lang w:eastAsia="zh-CN"/>
        </w:rPr>
        <w:t>筛选前3个月内献过血或失血≥400mL或接受输血或使用血制品或打算在试验期间或试验结束后3个月内献血（包括血液成份）者；</w:t>
      </w:r>
    </w:p>
    <w:p>
      <w:pPr>
        <w:widowControl w:val="0"/>
        <w:numPr>
          <w:ilvl w:val="0"/>
          <w:numId w:val="21"/>
        </w:numPr>
        <w:adjustRightInd w:val="0"/>
        <w:spacing w:line="348" w:lineRule="auto"/>
        <w:ind w:left="425" w:leftChars="0" w:hanging="425" w:firstLineChars="0"/>
        <w:contextualSpacing/>
        <w:rPr>
          <w:sz w:val="24"/>
          <w:szCs w:val="24"/>
          <w:lang w:eastAsia="zh-CN"/>
        </w:rPr>
      </w:pPr>
      <w:r>
        <w:rPr>
          <w:sz w:val="24"/>
          <w:szCs w:val="24"/>
          <w:lang w:eastAsia="zh-CN"/>
        </w:rPr>
        <w:t>筛选前3个月内每天吸烟大于5支或不同意在试验期间避免使用任何烟草类产品者；3个月酒精摄入量平均每天超过2个单位（1单位=360mL啤酒，或150mL红酒，或45mL蒸馏酒）或酒精测试阳性者，或不同意在试验期间避免饮酒者；</w:t>
      </w:r>
    </w:p>
    <w:p>
      <w:pPr>
        <w:widowControl w:val="0"/>
        <w:numPr>
          <w:ilvl w:val="0"/>
          <w:numId w:val="21"/>
        </w:numPr>
        <w:adjustRightInd w:val="0"/>
        <w:spacing w:line="348" w:lineRule="auto"/>
        <w:ind w:left="425" w:leftChars="0" w:hanging="425" w:firstLineChars="0"/>
        <w:contextualSpacing/>
        <w:rPr>
          <w:sz w:val="24"/>
          <w:szCs w:val="24"/>
          <w:lang w:eastAsia="zh-CN"/>
        </w:rPr>
      </w:pPr>
      <w:r>
        <w:rPr>
          <w:rFonts w:cs="宋体"/>
          <w:color w:val="000000"/>
          <w:sz w:val="24"/>
          <w:szCs w:val="24"/>
          <w:lang w:val="zh-TW" w:eastAsia="zh-CN"/>
        </w:rPr>
        <w:t>妊娠期、哺乳期</w:t>
      </w:r>
      <w:r>
        <w:rPr>
          <w:rFonts w:hint="eastAsia" w:cs="宋体"/>
          <w:color w:val="000000"/>
          <w:sz w:val="24"/>
          <w:szCs w:val="24"/>
          <w:lang w:eastAsia="zh-CN"/>
        </w:rPr>
        <w:t>女性，</w:t>
      </w:r>
      <w:r>
        <w:rPr>
          <w:rFonts w:cs="宋体"/>
          <w:color w:val="000000"/>
          <w:sz w:val="24"/>
          <w:szCs w:val="24"/>
          <w:lang w:val="zh-TW" w:eastAsia="zh-CN"/>
        </w:rPr>
        <w:t>或</w:t>
      </w:r>
      <w:r>
        <w:rPr>
          <w:rFonts w:hint="eastAsia" w:cs="宋体"/>
          <w:color w:val="000000"/>
          <w:sz w:val="24"/>
          <w:szCs w:val="24"/>
          <w:lang w:eastAsia="zh-CN"/>
        </w:rPr>
        <w:t>育龄</w:t>
      </w:r>
      <w:r>
        <w:rPr>
          <w:rFonts w:cs="宋体"/>
          <w:color w:val="000000"/>
          <w:sz w:val="24"/>
          <w:szCs w:val="24"/>
          <w:lang w:eastAsia="zh-CN"/>
        </w:rPr>
        <w:t>女性</w:t>
      </w:r>
      <w:r>
        <w:rPr>
          <w:rFonts w:hint="eastAsia" w:cs="宋体"/>
          <w:color w:val="000000"/>
          <w:sz w:val="24"/>
          <w:szCs w:val="24"/>
          <w:lang w:eastAsia="zh-CN"/>
        </w:rPr>
        <w:t>在计划给药前14天内有未保护性行为或</w:t>
      </w:r>
      <w:r>
        <w:rPr>
          <w:rFonts w:cs="宋体"/>
          <w:color w:val="000000"/>
          <w:sz w:val="24"/>
          <w:szCs w:val="24"/>
          <w:lang w:val="zh-TW" w:eastAsia="zh-CN"/>
        </w:rPr>
        <w:t>血妊娠检查结果为阳性者；</w:t>
      </w:r>
    </w:p>
    <w:p>
      <w:pPr>
        <w:widowControl w:val="0"/>
        <w:numPr>
          <w:ilvl w:val="0"/>
          <w:numId w:val="21"/>
        </w:numPr>
        <w:adjustRightInd w:val="0"/>
        <w:spacing w:line="348" w:lineRule="auto"/>
        <w:ind w:left="425" w:leftChars="0" w:hanging="425" w:firstLineChars="0"/>
        <w:contextualSpacing/>
        <w:rPr>
          <w:rFonts w:cs="宋体"/>
          <w:color w:val="000000"/>
          <w:sz w:val="24"/>
          <w:szCs w:val="24"/>
          <w:lang w:val="zh-TW" w:eastAsia="zh-CN"/>
        </w:rPr>
      </w:pPr>
      <w:r>
        <w:rPr>
          <w:rFonts w:cs="宋体"/>
          <w:color w:val="000000"/>
          <w:sz w:val="24"/>
          <w:szCs w:val="24"/>
          <w:lang w:val="zh-TW" w:eastAsia="zh-CN"/>
        </w:rPr>
        <w:t>筛选前</w:t>
      </w:r>
      <w:r>
        <w:rPr>
          <w:rFonts w:hint="eastAsia" w:cs="宋体"/>
          <w:color w:val="000000"/>
          <w:sz w:val="24"/>
          <w:szCs w:val="24"/>
          <w:lang w:eastAsia="zh-CN"/>
        </w:rPr>
        <w:t>1年</w:t>
      </w:r>
      <w:r>
        <w:rPr>
          <w:rFonts w:cs="宋体"/>
          <w:color w:val="000000"/>
          <w:sz w:val="24"/>
          <w:szCs w:val="24"/>
          <w:lang w:val="zh-TW" w:eastAsia="zh-CN"/>
        </w:rPr>
        <w:t>内有药物滥用史或使用过毒品者，</w:t>
      </w:r>
      <w:r>
        <w:rPr>
          <w:rFonts w:hint="eastAsia" w:ascii="Arial" w:hAnsi="Arial" w:cs="Arial"/>
          <w:sz w:val="24"/>
          <w:szCs w:val="24"/>
          <w:lang w:eastAsia="zh-CN"/>
        </w:rPr>
        <w:t>包括非医疗目的反复、大量地使用各类麻醉药品和精神药物，</w:t>
      </w:r>
      <w:r>
        <w:rPr>
          <w:rFonts w:cs="宋体"/>
          <w:color w:val="000000"/>
          <w:sz w:val="24"/>
          <w:szCs w:val="24"/>
          <w:lang w:val="zh-TW" w:eastAsia="zh-CN"/>
        </w:rPr>
        <w:t>或尿液成瘾药物（亚甲基二氧甲基苯丙胺（摇头丸）、甲基安非他明（冰毒）、氯胺酮、吗啡、四氢大麻酚酸（大麻））筛查试验阳性者；</w:t>
      </w:r>
    </w:p>
    <w:p>
      <w:pPr>
        <w:keepNext w:val="0"/>
        <w:keepLines w:val="0"/>
        <w:pageBreakBefore w:val="0"/>
        <w:widowControl w:val="0"/>
        <w:numPr>
          <w:ilvl w:val="0"/>
          <w:numId w:val="21"/>
        </w:numPr>
        <w:kinsoku/>
        <w:wordWrap/>
        <w:overflowPunct/>
        <w:topLinePunct w:val="0"/>
        <w:bidi w:val="0"/>
        <w:adjustRightInd w:val="0"/>
        <w:snapToGrid/>
        <w:spacing w:line="348" w:lineRule="auto"/>
        <w:ind w:left="425" w:leftChars="0" w:hanging="425" w:firstLineChars="0"/>
        <w:contextualSpacing/>
        <w:textAlignment w:val="auto"/>
        <w:rPr>
          <w:sz w:val="24"/>
          <w:szCs w:val="24"/>
          <w:lang w:eastAsia="zh-CN"/>
        </w:rPr>
      </w:pPr>
      <w:r>
        <w:rPr>
          <w:rFonts w:hint="eastAsia" w:cs="宋体"/>
          <w:color w:val="000000"/>
          <w:sz w:val="24"/>
          <w:szCs w:val="24"/>
          <w:lang w:val="zh-TW" w:eastAsia="zh-CN"/>
        </w:rPr>
        <w:t>筛选前28天内使用过任何抑制或诱导肝脏对药物代谢的药物（如：诱导剂--巴比妥类、卡马西平、苯妥英、糖皮质激素、奥美拉唑；抑制剂--SSRI类抗抑郁药、西咪替丁、地尔硫卓、大环内酯类、硝基咪唑类、镇静催眠药、维拉帕米、氟喹诺酮类、抗组胺类）者</w:t>
      </w:r>
      <w:r>
        <w:rPr>
          <w:sz w:val="24"/>
          <w:szCs w:val="24"/>
          <w:lang w:eastAsia="zh-CN"/>
        </w:rPr>
        <w:t>；</w:t>
      </w:r>
    </w:p>
    <w:p>
      <w:pPr>
        <w:widowControl w:val="0"/>
        <w:numPr>
          <w:ilvl w:val="0"/>
          <w:numId w:val="21"/>
        </w:numPr>
        <w:adjustRightInd w:val="0"/>
        <w:spacing w:line="348" w:lineRule="auto"/>
        <w:ind w:left="425" w:leftChars="0" w:hanging="425" w:firstLineChars="0"/>
        <w:contextualSpacing/>
        <w:rPr>
          <w:sz w:val="24"/>
          <w:szCs w:val="24"/>
          <w:lang w:eastAsia="zh-CN"/>
        </w:rPr>
      </w:pPr>
      <w:r>
        <w:rPr>
          <w:rFonts w:hint="eastAsia"/>
          <w:sz w:val="24"/>
          <w:szCs w:val="24"/>
          <w:lang w:eastAsia="zh-CN"/>
        </w:rPr>
        <w:t>给药</w:t>
      </w:r>
      <w:r>
        <w:rPr>
          <w:sz w:val="24"/>
          <w:szCs w:val="24"/>
          <w:lang w:eastAsia="zh-CN"/>
        </w:rPr>
        <w:t>前14天内服用过任何研究者认为可能会影响研究药物药代动力学特征评价的药物（包括中药</w:t>
      </w:r>
      <w:r>
        <w:rPr>
          <w:rFonts w:hint="eastAsia"/>
          <w:sz w:val="24"/>
          <w:szCs w:val="24"/>
          <w:lang w:eastAsia="zh-CN"/>
        </w:rPr>
        <w:t>、功能性维生素、保健品等</w:t>
      </w:r>
      <w:r>
        <w:rPr>
          <w:sz w:val="24"/>
          <w:szCs w:val="24"/>
          <w:lang w:eastAsia="zh-CN"/>
        </w:rPr>
        <w:t>）者；</w:t>
      </w:r>
    </w:p>
    <w:p>
      <w:pPr>
        <w:widowControl w:val="0"/>
        <w:numPr>
          <w:ilvl w:val="0"/>
          <w:numId w:val="21"/>
        </w:numPr>
        <w:adjustRightInd w:val="0"/>
        <w:spacing w:line="348" w:lineRule="auto"/>
        <w:ind w:left="425" w:leftChars="0" w:hanging="425" w:firstLineChars="0"/>
        <w:contextualSpacing/>
        <w:rPr>
          <w:sz w:val="24"/>
          <w:szCs w:val="24"/>
          <w:lang w:eastAsia="zh-CN"/>
        </w:rPr>
      </w:pPr>
      <w:r>
        <w:rPr>
          <w:sz w:val="24"/>
          <w:szCs w:val="24"/>
          <w:lang w:eastAsia="zh-CN"/>
        </w:rPr>
        <w:t>体格检查、生命体征检查、12-导联心电图及实验室检查异常者（经临床医师判断异常有临床意义）；</w:t>
      </w:r>
    </w:p>
    <w:p>
      <w:pPr>
        <w:widowControl w:val="0"/>
        <w:numPr>
          <w:ilvl w:val="0"/>
          <w:numId w:val="21"/>
        </w:numPr>
        <w:adjustRightInd w:val="0"/>
        <w:spacing w:line="348" w:lineRule="auto"/>
        <w:ind w:left="425" w:leftChars="0" w:hanging="425" w:firstLineChars="0"/>
        <w:contextualSpacing/>
        <w:rPr>
          <w:sz w:val="24"/>
          <w:szCs w:val="24"/>
        </w:rPr>
      </w:pPr>
      <w:r>
        <w:rPr>
          <w:sz w:val="24"/>
          <w:szCs w:val="24"/>
          <w:lang w:eastAsia="zh-CN"/>
        </w:rPr>
        <w:t>人类免疫缺陷病毒（HIV）抗体、乙型肝炎病毒表面抗原（HBsAg）或丙型肝炎病毒（HCV）抗体、梅毒螺旋体抗体（Ant</w:t>
      </w:r>
      <w:r>
        <w:rPr>
          <w:rFonts w:hint="eastAsia"/>
          <w:sz w:val="24"/>
          <w:szCs w:val="24"/>
          <w:lang w:eastAsia="zh-CN"/>
        </w:rPr>
        <w:t>i</w:t>
      </w:r>
      <w:r>
        <w:rPr>
          <w:sz w:val="24"/>
          <w:szCs w:val="24"/>
          <w:lang w:eastAsia="zh-CN"/>
        </w:rPr>
        <w:t>-TP）检查结果为阳性者；</w:t>
      </w:r>
    </w:p>
    <w:p>
      <w:pPr>
        <w:widowControl w:val="0"/>
        <w:numPr>
          <w:ilvl w:val="0"/>
          <w:numId w:val="21"/>
        </w:numPr>
        <w:adjustRightInd w:val="0"/>
        <w:spacing w:line="348" w:lineRule="auto"/>
        <w:ind w:left="425" w:leftChars="0" w:hanging="425" w:firstLineChars="0"/>
        <w:contextualSpacing/>
        <w:rPr>
          <w:sz w:val="24"/>
          <w:szCs w:val="24"/>
          <w:lang w:val="zh-TW" w:eastAsia="zh-CN"/>
        </w:rPr>
      </w:pPr>
      <w:r>
        <w:rPr>
          <w:rFonts w:hint="eastAsia"/>
          <w:sz w:val="24"/>
          <w:szCs w:val="24"/>
          <w:lang w:val="zh-TW" w:eastAsia="zh-CN"/>
        </w:rPr>
        <w:t>筛选前3个月内饮用过量（一天8杯以上，1杯=250mL）浓茶、咖啡或含咖啡因的饮料者；</w:t>
      </w:r>
    </w:p>
    <w:p>
      <w:pPr>
        <w:widowControl w:val="0"/>
        <w:numPr>
          <w:ilvl w:val="0"/>
          <w:numId w:val="21"/>
        </w:numPr>
        <w:adjustRightInd w:val="0"/>
        <w:spacing w:line="348" w:lineRule="auto"/>
        <w:ind w:left="425" w:leftChars="0" w:hanging="425" w:firstLineChars="0"/>
        <w:contextualSpacing/>
        <w:rPr>
          <w:sz w:val="24"/>
          <w:szCs w:val="24"/>
          <w:lang w:eastAsia="zh-CN"/>
        </w:rPr>
      </w:pPr>
      <w:r>
        <w:rPr>
          <w:rFonts w:hint="eastAsia"/>
          <w:sz w:val="24"/>
          <w:szCs w:val="24"/>
          <w:lang w:val="zh-TW" w:eastAsia="zh-CN"/>
        </w:rPr>
        <w:t>给药前48 h内，</w:t>
      </w:r>
      <w:r>
        <w:rPr>
          <w:rFonts w:hint="eastAsia"/>
          <w:sz w:val="24"/>
          <w:szCs w:val="24"/>
          <w:lang w:eastAsia="zh-CN"/>
        </w:rPr>
        <w:t>食用</w:t>
      </w:r>
      <w:r>
        <w:rPr>
          <w:rFonts w:hint="eastAsia"/>
          <w:sz w:val="24"/>
          <w:szCs w:val="24"/>
          <w:lang w:val="zh-TW" w:eastAsia="zh-CN"/>
        </w:rPr>
        <w:t>任何含有咖啡因的食物或饮料（如咖啡、</w:t>
      </w:r>
      <w:r>
        <w:rPr>
          <w:rFonts w:hint="eastAsia"/>
          <w:sz w:val="24"/>
          <w:szCs w:val="24"/>
          <w:lang w:eastAsia="zh-CN"/>
        </w:rPr>
        <w:t>浓茶、可乐、</w:t>
      </w:r>
      <w:r>
        <w:rPr>
          <w:rFonts w:hint="eastAsia"/>
          <w:sz w:val="24"/>
          <w:szCs w:val="24"/>
          <w:lang w:val="zh-TW" w:eastAsia="zh-CN"/>
        </w:rPr>
        <w:t>巧克力等）</w:t>
      </w:r>
      <w:r>
        <w:rPr>
          <w:rFonts w:hint="eastAsia"/>
          <w:sz w:val="24"/>
          <w:szCs w:val="24"/>
          <w:lang w:eastAsia="zh-CN"/>
        </w:rPr>
        <w:t>或食用</w:t>
      </w:r>
      <w:r>
        <w:rPr>
          <w:rFonts w:hint="eastAsia"/>
          <w:sz w:val="24"/>
          <w:szCs w:val="24"/>
          <w:lang w:val="zh-TW" w:eastAsia="zh-CN"/>
        </w:rPr>
        <w:t>葡萄柚（西柚）</w:t>
      </w:r>
      <w:r>
        <w:rPr>
          <w:rFonts w:hint="eastAsia"/>
          <w:sz w:val="24"/>
          <w:szCs w:val="24"/>
          <w:lang w:eastAsia="zh-CN"/>
        </w:rPr>
        <w:t>及其制成的饮料，或食用含酒精的食物或饮料者；</w:t>
      </w:r>
    </w:p>
    <w:p>
      <w:pPr>
        <w:widowControl w:val="0"/>
        <w:numPr>
          <w:ilvl w:val="0"/>
          <w:numId w:val="21"/>
        </w:numPr>
        <w:adjustRightInd w:val="0"/>
        <w:spacing w:line="348" w:lineRule="auto"/>
        <w:ind w:left="425" w:leftChars="0" w:hanging="425" w:firstLineChars="0"/>
        <w:contextualSpacing/>
        <w:rPr>
          <w:sz w:val="24"/>
          <w:szCs w:val="24"/>
          <w:lang w:val="zh-TW" w:eastAsia="zh-CN"/>
        </w:rPr>
      </w:pPr>
      <w:r>
        <w:rPr>
          <w:sz w:val="24"/>
          <w:szCs w:val="24"/>
          <w:lang w:val="zh-TW" w:eastAsia="zh-CN"/>
        </w:rPr>
        <w:t>静脉采血困难或</w:t>
      </w:r>
      <w:r>
        <w:rPr>
          <w:rFonts w:hint="eastAsia"/>
          <w:sz w:val="24"/>
          <w:szCs w:val="24"/>
          <w:lang w:eastAsia="zh-CN"/>
        </w:rPr>
        <w:t>不耐受静脉</w:t>
      </w:r>
      <w:r>
        <w:rPr>
          <w:rFonts w:hint="eastAsia"/>
          <w:sz w:val="24"/>
          <w:szCs w:val="24"/>
          <w:lang w:val="en-US" w:eastAsia="zh-CN"/>
        </w:rPr>
        <w:t>穿刺</w:t>
      </w:r>
      <w:r>
        <w:rPr>
          <w:rFonts w:hint="eastAsia"/>
          <w:sz w:val="24"/>
          <w:szCs w:val="24"/>
          <w:lang w:eastAsia="zh-CN"/>
        </w:rPr>
        <w:t>，或有</w:t>
      </w:r>
      <w:r>
        <w:rPr>
          <w:sz w:val="24"/>
          <w:szCs w:val="24"/>
          <w:lang w:val="zh-TW" w:eastAsia="zh-CN"/>
        </w:rPr>
        <w:t>晕针晕血</w:t>
      </w:r>
      <w:r>
        <w:rPr>
          <w:rFonts w:hint="eastAsia"/>
          <w:sz w:val="24"/>
          <w:szCs w:val="24"/>
          <w:lang w:eastAsia="zh-CN"/>
        </w:rPr>
        <w:t>史</w:t>
      </w:r>
      <w:r>
        <w:rPr>
          <w:sz w:val="24"/>
          <w:szCs w:val="24"/>
          <w:lang w:val="zh-TW" w:eastAsia="zh-CN"/>
        </w:rPr>
        <w:t>者；</w:t>
      </w:r>
    </w:p>
    <w:p>
      <w:pPr>
        <w:widowControl w:val="0"/>
        <w:numPr>
          <w:ilvl w:val="0"/>
          <w:numId w:val="21"/>
        </w:numPr>
        <w:adjustRightInd w:val="0"/>
        <w:spacing w:line="348" w:lineRule="auto"/>
        <w:ind w:left="425" w:leftChars="0" w:hanging="425" w:firstLineChars="0"/>
        <w:contextualSpacing/>
        <w:rPr>
          <w:sz w:val="24"/>
          <w:szCs w:val="24"/>
          <w:lang w:val="zh-TW" w:eastAsia="zh-CN"/>
        </w:rPr>
      </w:pPr>
      <w:r>
        <w:rPr>
          <w:sz w:val="24"/>
          <w:szCs w:val="24"/>
          <w:lang w:val="zh-TW" w:eastAsia="zh-CN"/>
        </w:rPr>
        <w:t>对饮食有特殊要求，不能接受统一饮食</w:t>
      </w:r>
      <w:r>
        <w:rPr>
          <w:rFonts w:hint="eastAsia"/>
          <w:sz w:val="24"/>
          <w:szCs w:val="24"/>
          <w:lang w:val="en-US" w:eastAsia="zh-CN"/>
        </w:rPr>
        <w:t>(如</w:t>
      </w:r>
      <w:r>
        <w:rPr>
          <w:rFonts w:hint="eastAsia"/>
          <w:color w:val="FF0000"/>
          <w:sz w:val="24"/>
          <w:szCs w:val="24"/>
          <w:lang w:val="en-US" w:eastAsia="zh-CN"/>
        </w:rPr>
        <w:t>不能耐受牛奶、鸡蛋、黄油、培根等食物者</w:t>
      </w:r>
      <w:r>
        <w:rPr>
          <w:rFonts w:hint="eastAsia"/>
          <w:sz w:val="24"/>
          <w:szCs w:val="24"/>
          <w:lang w:val="en-US" w:eastAsia="zh-CN"/>
        </w:rPr>
        <w:t>)</w:t>
      </w:r>
      <w:r>
        <w:rPr>
          <w:sz w:val="24"/>
          <w:szCs w:val="24"/>
          <w:lang w:val="zh-TW" w:eastAsia="zh-CN"/>
        </w:rPr>
        <w:t>；</w:t>
      </w:r>
    </w:p>
    <w:p>
      <w:pPr>
        <w:widowControl w:val="0"/>
        <w:numPr>
          <w:ilvl w:val="0"/>
          <w:numId w:val="21"/>
        </w:numPr>
        <w:adjustRightInd w:val="0"/>
        <w:spacing w:line="348" w:lineRule="auto"/>
        <w:ind w:left="425" w:leftChars="0" w:hanging="425" w:firstLineChars="0"/>
        <w:contextualSpacing/>
        <w:rPr>
          <w:sz w:val="24"/>
          <w:szCs w:val="24"/>
          <w:lang w:eastAsia="zh-CN"/>
        </w:rPr>
      </w:pPr>
      <w:r>
        <w:rPr>
          <w:sz w:val="24"/>
          <w:szCs w:val="24"/>
          <w:lang w:eastAsia="zh-CN"/>
        </w:rPr>
        <w:t>在研究前筛选阶段或研究用药前发生急性疾病者；</w:t>
      </w:r>
    </w:p>
    <w:p>
      <w:pPr>
        <w:keepNext w:val="0"/>
        <w:keepLines w:val="0"/>
        <w:widowControl w:val="0"/>
        <w:numPr>
          <w:ilvl w:val="0"/>
          <w:numId w:val="21"/>
        </w:numPr>
        <w:autoSpaceDE w:val="0"/>
        <w:autoSpaceDN w:val="0"/>
        <w:adjustRightInd w:val="0"/>
        <w:spacing w:before="0" w:after="0" w:line="348" w:lineRule="auto"/>
        <w:ind w:left="425" w:hanging="425"/>
        <w:contextualSpacing/>
        <w:rPr>
          <w:rFonts w:ascii="Times New Roman" w:hAnsi="Times New Roman" w:eastAsiaTheme="minorEastAsia"/>
          <w:sz w:val="24"/>
          <w:szCs w:val="24"/>
          <w:lang w:val="zh-TW" w:eastAsia="zh-CN"/>
        </w:rPr>
      </w:pPr>
      <w:r>
        <w:rPr>
          <w:rFonts w:ascii="Times New Roman" w:hAnsi="Times New Roman" w:eastAsia="宋体"/>
          <w:b w:val="0"/>
          <w:bCs w:val="0"/>
          <w:sz w:val="24"/>
          <w:szCs w:val="24"/>
          <w:lang w:eastAsia="zh-CN"/>
        </w:rPr>
        <w:t>研究者判断不适宜参加本项临床研究的受试者。</w:t>
      </w:r>
    </w:p>
    <w:p>
      <w:pPr>
        <w:keepNext w:val="0"/>
        <w:keepLines w:val="0"/>
        <w:widowControl w:val="0"/>
        <w:numPr>
          <w:ilvl w:val="-1"/>
          <w:numId w:val="0"/>
        </w:numPr>
        <w:autoSpaceDE w:val="0"/>
        <w:autoSpaceDN w:val="0"/>
        <w:adjustRightInd w:val="0"/>
        <w:spacing w:before="0" w:after="0" w:line="348" w:lineRule="auto"/>
        <w:ind w:left="0" w:firstLine="0"/>
        <w:contextualSpacing/>
        <w:rPr>
          <w:rFonts w:ascii="Times New Roman" w:hAnsi="Times New Roman" w:eastAsiaTheme="minorEastAsia"/>
          <w:sz w:val="24"/>
          <w:szCs w:val="24"/>
          <w:lang w:val="zh-TW" w:eastAsia="zh-CN"/>
        </w:rPr>
      </w:pPr>
      <w:r>
        <w:rPr>
          <w:rFonts w:hint="eastAsia"/>
          <w:b/>
          <w:bCs/>
          <w:sz w:val="24"/>
          <w:szCs w:val="24"/>
          <w:lang w:val="en-US" w:eastAsia="zh-CN"/>
        </w:rPr>
        <w:t>3.3</w:t>
      </w:r>
      <w:r>
        <w:rPr>
          <w:rFonts w:ascii="Times New Roman" w:hAnsi="Times New Roman" w:eastAsia="宋体"/>
          <w:b/>
          <w:bCs/>
          <w:sz w:val="24"/>
          <w:szCs w:val="24"/>
          <w:lang w:val="en-US" w:eastAsia="zh-CN"/>
        </w:rPr>
        <w:t>受试者剔除标准</w:t>
      </w:r>
      <w:bookmarkEnd w:id="164"/>
      <w:bookmarkEnd w:id="165"/>
      <w:bookmarkEnd w:id="166"/>
      <w:bookmarkEnd w:id="167"/>
      <w:bookmarkEnd w:id="168"/>
    </w:p>
    <w:p>
      <w:pPr>
        <w:ind w:left="0" w:firstLine="480" w:firstLineChars="200"/>
        <w:jc w:val="left"/>
        <w:rPr>
          <w:iCs/>
          <w:lang w:eastAsia="zh-CN"/>
        </w:rPr>
      </w:pPr>
      <w:r>
        <w:rPr>
          <w:iCs/>
          <w:lang w:eastAsia="zh-CN"/>
        </w:rPr>
        <w:t>资料统计分析前，由主要研究者、申办方、统计分析人员判断个例是否剔除。出现下列情况之一，三方人员将依据受试者完成试验的程度和退组原因等因素综合判断是否将此受试者剔除，</w:t>
      </w:r>
      <w:r>
        <w:rPr>
          <w:color w:val="auto"/>
          <w:u w:color="000000"/>
          <w:lang w:val="zh-TW" w:eastAsia="zh-TW"/>
        </w:rPr>
        <w:t>必要时需要针对离群值进行敏感性分析，即评价剔除和不剔除离群值对生物等效性结果的影响</w:t>
      </w:r>
      <w:r>
        <w:rPr>
          <w:rFonts w:hint="eastAsia"/>
          <w:color w:val="auto"/>
          <w:u w:color="000000"/>
          <w:lang w:val="zh-TW" w:eastAsia="zh-CN"/>
        </w:rPr>
        <w:t>，</w:t>
      </w:r>
      <w:r>
        <w:rPr>
          <w:iCs/>
          <w:color w:val="auto"/>
          <w:lang w:eastAsia="zh-CN"/>
        </w:rPr>
        <w:t>并</w:t>
      </w:r>
      <w:r>
        <w:rPr>
          <w:iCs/>
          <w:lang w:eastAsia="zh-CN"/>
        </w:rPr>
        <w:t>作出相关说明。</w:t>
      </w:r>
    </w:p>
    <w:p>
      <w:pPr>
        <w:pStyle w:val="108"/>
        <w:numPr>
          <w:ilvl w:val="255"/>
          <w:numId w:val="0"/>
        </w:numPr>
        <w:ind w:left="480"/>
        <w:jc w:val="left"/>
        <w:rPr>
          <w:iCs/>
          <w:sz w:val="24"/>
          <w:szCs w:val="24"/>
        </w:rPr>
      </w:pPr>
      <w:r>
        <w:rPr>
          <w:rFonts w:hint="eastAsia"/>
          <w:iCs/>
          <w:sz w:val="24"/>
          <w:szCs w:val="24"/>
        </w:rPr>
        <w:t>（1）</w:t>
      </w:r>
      <w:r>
        <w:rPr>
          <w:iCs/>
          <w:sz w:val="24"/>
          <w:szCs w:val="24"/>
        </w:rPr>
        <w:t>受试者个例的选择违反了入选/排除标准，不应当进入试验。</w:t>
      </w:r>
    </w:p>
    <w:p>
      <w:pPr>
        <w:pStyle w:val="108"/>
        <w:numPr>
          <w:ilvl w:val="255"/>
          <w:numId w:val="0"/>
        </w:numPr>
        <w:ind w:left="480"/>
        <w:jc w:val="left"/>
        <w:rPr>
          <w:iCs/>
          <w:sz w:val="24"/>
          <w:szCs w:val="24"/>
        </w:rPr>
      </w:pPr>
      <w:r>
        <w:rPr>
          <w:rFonts w:hint="eastAsia"/>
          <w:iCs/>
          <w:sz w:val="24"/>
          <w:szCs w:val="24"/>
        </w:rPr>
        <w:t>（2）</w:t>
      </w:r>
      <w:r>
        <w:rPr>
          <w:iCs/>
          <w:sz w:val="24"/>
          <w:szCs w:val="24"/>
        </w:rPr>
        <w:t>如果受试者在给药后，在</w:t>
      </w:r>
      <w:r>
        <w:rPr>
          <w:iCs/>
          <w:sz w:val="24"/>
          <w:szCs w:val="24"/>
          <w:lang w:val="zh-TW" w:eastAsia="zh-TW"/>
        </w:rPr>
        <w:t>T</w:t>
      </w:r>
      <w:r>
        <w:rPr>
          <w:iCs/>
          <w:sz w:val="24"/>
          <w:szCs w:val="24"/>
          <w:vertAlign w:val="subscript"/>
          <w:lang w:val="zh-TW" w:eastAsia="zh-TW"/>
        </w:rPr>
        <w:t>max</w:t>
      </w:r>
      <w:r>
        <w:rPr>
          <w:iCs/>
          <w:sz w:val="24"/>
          <w:szCs w:val="24"/>
          <w:lang w:val="zh-TW" w:eastAsia="zh-TW"/>
        </w:rPr>
        <w:t>中位数的两倍时间</w:t>
      </w:r>
      <w:r>
        <w:rPr>
          <w:iCs/>
          <w:sz w:val="24"/>
          <w:szCs w:val="24"/>
        </w:rPr>
        <w:t>内发生呕吐</w:t>
      </w:r>
      <w:r>
        <w:rPr>
          <w:rFonts w:hint="eastAsia"/>
          <w:iCs/>
          <w:sz w:val="24"/>
          <w:szCs w:val="24"/>
        </w:rPr>
        <w:t>/腹泻</w:t>
      </w:r>
      <w:r>
        <w:rPr>
          <w:iCs/>
          <w:sz w:val="24"/>
          <w:szCs w:val="24"/>
        </w:rPr>
        <w:t>，则</w:t>
      </w:r>
    </w:p>
    <w:p>
      <w:pPr>
        <w:pStyle w:val="108"/>
        <w:numPr>
          <w:ilvl w:val="255"/>
          <w:numId w:val="0"/>
        </w:numPr>
        <w:jc w:val="left"/>
        <w:rPr>
          <w:iCs/>
          <w:sz w:val="24"/>
          <w:szCs w:val="24"/>
        </w:rPr>
      </w:pPr>
      <w:r>
        <w:rPr>
          <w:iCs/>
          <w:sz w:val="24"/>
          <w:szCs w:val="24"/>
        </w:rPr>
        <w:t>该受试者</w:t>
      </w:r>
      <w:r>
        <w:rPr>
          <w:rFonts w:hint="eastAsia"/>
          <w:iCs/>
          <w:sz w:val="24"/>
          <w:szCs w:val="24"/>
        </w:rPr>
        <w:t>该</w:t>
      </w:r>
      <w:r>
        <w:rPr>
          <w:iCs/>
          <w:sz w:val="24"/>
          <w:szCs w:val="24"/>
        </w:rPr>
        <w:t>周期的数据不纳入生物等效性评价。</w:t>
      </w:r>
    </w:p>
    <w:p>
      <w:pPr>
        <w:pStyle w:val="108"/>
        <w:numPr>
          <w:ilvl w:val="255"/>
          <w:numId w:val="0"/>
        </w:numPr>
        <w:ind w:left="480"/>
        <w:jc w:val="left"/>
        <w:rPr>
          <w:iCs/>
          <w:sz w:val="24"/>
          <w:szCs w:val="24"/>
        </w:rPr>
      </w:pPr>
      <w:r>
        <w:rPr>
          <w:rFonts w:hint="eastAsia"/>
          <w:iCs/>
          <w:sz w:val="24"/>
          <w:szCs w:val="24"/>
          <w:lang w:val="zh-TW"/>
        </w:rPr>
        <w:t>（</w:t>
      </w:r>
      <w:r>
        <w:rPr>
          <w:rFonts w:hint="eastAsia"/>
          <w:iCs/>
          <w:sz w:val="24"/>
          <w:szCs w:val="24"/>
        </w:rPr>
        <w:t>3</w:t>
      </w:r>
      <w:r>
        <w:rPr>
          <w:rFonts w:hint="eastAsia"/>
          <w:iCs/>
          <w:sz w:val="24"/>
          <w:szCs w:val="24"/>
          <w:lang w:val="zh-TW"/>
        </w:rPr>
        <w:t>）</w:t>
      </w:r>
      <w:r>
        <w:rPr>
          <w:iCs/>
          <w:sz w:val="24"/>
          <w:szCs w:val="24"/>
          <w:lang w:val="zh-TW" w:eastAsia="zh-TW"/>
        </w:rPr>
        <w:t>给药前血药浓度大于相应给药后C</w:t>
      </w:r>
      <w:r>
        <w:rPr>
          <w:iCs/>
          <w:sz w:val="24"/>
          <w:szCs w:val="24"/>
          <w:vertAlign w:val="subscript"/>
          <w:lang w:val="zh-TW" w:eastAsia="zh-TW"/>
        </w:rPr>
        <w:t>max</w:t>
      </w:r>
      <w:r>
        <w:rPr>
          <w:iCs/>
          <w:sz w:val="24"/>
          <w:szCs w:val="24"/>
          <w:lang w:val="zh-TW" w:eastAsia="zh-TW"/>
        </w:rPr>
        <w:t>的5%，</w:t>
      </w:r>
      <w:r>
        <w:rPr>
          <w:iCs/>
          <w:sz w:val="24"/>
          <w:szCs w:val="24"/>
          <w:lang w:val="zh-TW"/>
        </w:rPr>
        <w:t>则该受试者</w:t>
      </w:r>
      <w:r>
        <w:rPr>
          <w:rFonts w:hint="eastAsia"/>
          <w:iCs/>
          <w:sz w:val="24"/>
          <w:szCs w:val="24"/>
          <w:lang w:val="zh-TW"/>
        </w:rPr>
        <w:t>该</w:t>
      </w:r>
      <w:r>
        <w:rPr>
          <w:iCs/>
          <w:sz w:val="24"/>
          <w:szCs w:val="24"/>
          <w:lang w:val="zh-TW"/>
        </w:rPr>
        <w:t>周期</w:t>
      </w:r>
      <w:r>
        <w:rPr>
          <w:iCs/>
          <w:sz w:val="24"/>
          <w:szCs w:val="24"/>
          <w:lang w:val="zh-TW" w:eastAsia="zh-TW"/>
        </w:rPr>
        <w:t>药代数</w:t>
      </w:r>
    </w:p>
    <w:p>
      <w:pPr>
        <w:pStyle w:val="108"/>
        <w:numPr>
          <w:ilvl w:val="255"/>
          <w:numId w:val="0"/>
        </w:numPr>
        <w:jc w:val="left"/>
        <w:rPr>
          <w:iCs/>
          <w:sz w:val="24"/>
          <w:szCs w:val="24"/>
        </w:rPr>
      </w:pPr>
      <w:r>
        <w:rPr>
          <w:iCs/>
          <w:sz w:val="24"/>
          <w:szCs w:val="24"/>
          <w:lang w:val="zh-TW" w:eastAsia="zh-TW"/>
        </w:rPr>
        <w:t>据不纳入等效性评价</w:t>
      </w:r>
      <w:r>
        <w:rPr>
          <w:iCs/>
          <w:sz w:val="24"/>
          <w:szCs w:val="24"/>
          <w:lang w:val="zh-TW"/>
        </w:rPr>
        <w:t>；</w:t>
      </w:r>
    </w:p>
    <w:p>
      <w:pPr>
        <w:pStyle w:val="108"/>
        <w:numPr>
          <w:ilvl w:val="255"/>
          <w:numId w:val="0"/>
        </w:numPr>
        <w:ind w:left="437"/>
        <w:jc w:val="left"/>
        <w:rPr>
          <w:iCs/>
          <w:sz w:val="24"/>
          <w:szCs w:val="24"/>
        </w:rPr>
      </w:pPr>
      <w:r>
        <w:rPr>
          <w:rFonts w:hint="eastAsia"/>
          <w:iCs/>
          <w:sz w:val="24"/>
          <w:szCs w:val="24"/>
        </w:rPr>
        <w:t>（4）</w:t>
      </w:r>
      <w:r>
        <w:rPr>
          <w:iCs/>
          <w:sz w:val="24"/>
          <w:szCs w:val="24"/>
        </w:rPr>
        <w:t>试验期间，受试者不遵守试验计划，依从性差，如：未曾使用试验用药</w:t>
      </w:r>
    </w:p>
    <w:p>
      <w:pPr>
        <w:pStyle w:val="108"/>
        <w:numPr>
          <w:ilvl w:val="255"/>
          <w:numId w:val="0"/>
        </w:numPr>
        <w:jc w:val="left"/>
        <w:rPr>
          <w:iCs/>
          <w:sz w:val="24"/>
          <w:szCs w:val="24"/>
        </w:rPr>
      </w:pPr>
      <w:r>
        <w:rPr>
          <w:iCs/>
          <w:sz w:val="24"/>
          <w:szCs w:val="24"/>
        </w:rPr>
        <w:t>或无法按照试验方案要求采集到药代动力学和安全性评价的样本且影响结果评价</w:t>
      </w:r>
      <w:r>
        <w:rPr>
          <w:rFonts w:hint="eastAsia"/>
          <w:iCs/>
          <w:sz w:val="24"/>
          <w:szCs w:val="24"/>
        </w:rPr>
        <w:t>，</w:t>
      </w:r>
      <w:r>
        <w:rPr>
          <w:iCs/>
          <w:sz w:val="24"/>
          <w:szCs w:val="24"/>
        </w:rPr>
        <w:t>则该受试者</w:t>
      </w:r>
      <w:r>
        <w:rPr>
          <w:rFonts w:hint="eastAsia"/>
          <w:iCs/>
          <w:sz w:val="24"/>
          <w:szCs w:val="24"/>
        </w:rPr>
        <w:t>该</w:t>
      </w:r>
      <w:r>
        <w:rPr>
          <w:iCs/>
          <w:sz w:val="24"/>
          <w:szCs w:val="24"/>
        </w:rPr>
        <w:t>周期的数据不纳入生物等效性评价；</w:t>
      </w:r>
    </w:p>
    <w:p>
      <w:pPr>
        <w:pStyle w:val="108"/>
        <w:numPr>
          <w:ilvl w:val="0"/>
          <w:numId w:val="0"/>
        </w:numPr>
        <w:ind w:firstLine="480" w:firstLineChars="200"/>
        <w:jc w:val="left"/>
        <w:rPr>
          <w:rFonts w:hint="eastAsia"/>
          <w:iCs/>
          <w:sz w:val="24"/>
          <w:szCs w:val="24"/>
          <w:lang w:val="zh-TW" w:eastAsia="zh-TW"/>
        </w:rPr>
      </w:pPr>
      <w:bookmarkStart w:id="169" w:name="_Toc22644"/>
      <w:bookmarkStart w:id="170" w:name="_Toc460500111"/>
      <w:bookmarkStart w:id="171" w:name="_Toc521584568"/>
      <w:bookmarkStart w:id="172" w:name="_Toc460952492"/>
      <w:r>
        <w:rPr>
          <w:rFonts w:hint="eastAsia"/>
          <w:iCs/>
          <w:sz w:val="24"/>
          <w:szCs w:val="24"/>
          <w:lang w:eastAsia="zh-CN"/>
        </w:rPr>
        <w:t>（</w:t>
      </w:r>
      <w:r>
        <w:rPr>
          <w:rFonts w:hint="eastAsia"/>
          <w:iCs/>
          <w:sz w:val="24"/>
          <w:szCs w:val="24"/>
          <w:lang w:val="en-US" w:eastAsia="zh-CN"/>
        </w:rPr>
        <w:t>5</w:t>
      </w:r>
      <w:r>
        <w:rPr>
          <w:rFonts w:hint="eastAsia"/>
          <w:iCs/>
          <w:sz w:val="24"/>
          <w:szCs w:val="24"/>
          <w:lang w:eastAsia="zh-CN"/>
        </w:rPr>
        <w:t>）有特殊原因</w:t>
      </w:r>
      <w:r>
        <w:rPr>
          <w:rFonts w:hint="eastAsia"/>
          <w:iCs/>
          <w:sz w:val="24"/>
          <w:szCs w:val="24"/>
          <w:lang w:val="zh-TW" w:eastAsia="zh-TW"/>
        </w:rPr>
        <w:t>，如违反方案给药、采血时间错误、样本处理、贮存不当、服用</w:t>
      </w:r>
    </w:p>
    <w:p>
      <w:pPr>
        <w:pStyle w:val="108"/>
        <w:numPr>
          <w:ilvl w:val="0"/>
          <w:numId w:val="0"/>
        </w:numPr>
        <w:ind w:leftChars="0"/>
        <w:jc w:val="left"/>
        <w:rPr>
          <w:rFonts w:hint="eastAsia"/>
          <w:iCs/>
          <w:sz w:val="24"/>
          <w:szCs w:val="24"/>
          <w:lang w:val="zh-TW" w:eastAsia="zh-CN"/>
        </w:rPr>
      </w:pPr>
      <w:r>
        <w:rPr>
          <w:rFonts w:hint="eastAsia"/>
          <w:iCs/>
          <w:sz w:val="24"/>
          <w:szCs w:val="24"/>
          <w:lang w:val="zh-TW" w:eastAsia="zh-TW"/>
        </w:rPr>
        <w:t>对试验药物药代动力学有影响的药物等造成试验数据偏差极大者</w:t>
      </w:r>
      <w:r>
        <w:rPr>
          <w:rFonts w:hint="eastAsia"/>
          <w:iCs/>
          <w:sz w:val="24"/>
          <w:szCs w:val="24"/>
          <w:lang w:val="zh-TW" w:eastAsia="zh-CN"/>
        </w:rPr>
        <w:t>，根据具体情况判断数据剔除情况；</w:t>
      </w:r>
    </w:p>
    <w:p>
      <w:pPr>
        <w:pStyle w:val="108"/>
        <w:numPr>
          <w:ilvl w:val="255"/>
          <w:numId w:val="0"/>
        </w:numPr>
        <w:ind w:left="437"/>
        <w:jc w:val="left"/>
        <w:rPr>
          <w:rFonts w:hint="eastAsia"/>
          <w:iCs/>
          <w:sz w:val="24"/>
          <w:szCs w:val="24"/>
          <w:highlight w:val="none"/>
          <w:lang w:val="zh-TW" w:eastAsia="zh-CN"/>
        </w:rPr>
      </w:pPr>
      <w:r>
        <w:rPr>
          <w:rFonts w:hint="eastAsia"/>
          <w:iCs/>
          <w:sz w:val="24"/>
          <w:szCs w:val="24"/>
          <w:highlight w:val="none"/>
          <w:lang w:val="zh-TW" w:eastAsia="zh-CN"/>
        </w:rPr>
        <w:t>（</w:t>
      </w:r>
      <w:r>
        <w:rPr>
          <w:rFonts w:hint="eastAsia"/>
          <w:iCs/>
          <w:sz w:val="24"/>
          <w:szCs w:val="24"/>
          <w:highlight w:val="none"/>
          <w:lang w:val="en-US" w:eastAsia="zh-CN"/>
        </w:rPr>
        <w:t>6</w:t>
      </w:r>
      <w:r>
        <w:rPr>
          <w:rFonts w:hint="eastAsia"/>
          <w:iCs/>
          <w:sz w:val="24"/>
          <w:szCs w:val="24"/>
          <w:highlight w:val="none"/>
          <w:lang w:val="zh-TW" w:eastAsia="zh-CN"/>
        </w:rPr>
        <w:t>）</w:t>
      </w:r>
      <w:r>
        <w:rPr>
          <w:rFonts w:hint="eastAsia"/>
          <w:iCs/>
          <w:sz w:val="24"/>
          <w:szCs w:val="24"/>
          <w:highlight w:val="none"/>
          <w:lang w:val="zh-CN" w:eastAsia="zh-TW"/>
        </w:rPr>
        <w:t>研究者认为其他严重违背方案</w:t>
      </w:r>
      <w:r>
        <w:rPr>
          <w:rFonts w:hint="eastAsia"/>
          <w:iCs/>
          <w:sz w:val="24"/>
          <w:szCs w:val="24"/>
          <w:highlight w:val="none"/>
          <w:lang w:val="en-US" w:eastAsia="zh-CN"/>
        </w:rPr>
        <w:t>的情况</w:t>
      </w:r>
      <w:r>
        <w:rPr>
          <w:rFonts w:hint="eastAsia"/>
          <w:iCs/>
          <w:sz w:val="24"/>
          <w:szCs w:val="24"/>
          <w:highlight w:val="none"/>
          <w:lang w:val="zh-CN" w:eastAsia="zh-TW"/>
        </w:rPr>
        <w:t>。</w:t>
      </w:r>
    </w:p>
    <w:p>
      <w:pPr>
        <w:pStyle w:val="4"/>
        <w:keepNext w:val="0"/>
        <w:keepLines w:val="0"/>
        <w:widowControl w:val="0"/>
        <w:numPr>
          <w:ilvl w:val="-1"/>
          <w:numId w:val="0"/>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CN"/>
        </w:rPr>
      </w:pPr>
      <w:bookmarkStart w:id="173" w:name="_Toc30592"/>
      <w:r>
        <w:rPr>
          <w:rFonts w:hint="eastAsia" w:ascii="Times New Roman" w:hAnsi="Times New Roman" w:eastAsiaTheme="minorEastAsia"/>
          <w:sz w:val="24"/>
          <w:szCs w:val="24"/>
          <w:lang w:val="en-US" w:eastAsia="zh-CN"/>
        </w:rPr>
        <w:t xml:space="preserve">3.4  </w:t>
      </w:r>
      <w:r>
        <w:rPr>
          <w:rFonts w:ascii="Times New Roman" w:hAnsi="Times New Roman" w:eastAsiaTheme="minorEastAsia"/>
          <w:sz w:val="24"/>
          <w:szCs w:val="24"/>
          <w:lang w:val="zh-TW" w:eastAsia="zh-CN"/>
        </w:rPr>
        <w:t>受试者脱落处理原则</w:t>
      </w:r>
      <w:bookmarkEnd w:id="169"/>
      <w:bookmarkEnd w:id="170"/>
      <w:bookmarkEnd w:id="171"/>
      <w:bookmarkEnd w:id="172"/>
      <w:bookmarkEnd w:id="173"/>
    </w:p>
    <w:p>
      <w:pPr>
        <w:pStyle w:val="69"/>
        <w:numPr>
          <w:ilvl w:val="0"/>
          <w:numId w:val="22"/>
        </w:numPr>
        <w:autoSpaceDE w:val="0"/>
        <w:autoSpaceDN w:val="0"/>
        <w:snapToGrid/>
        <w:contextualSpacing/>
        <w:rPr>
          <w:rFonts w:eastAsiaTheme="minorEastAsia"/>
        </w:rPr>
      </w:pPr>
      <w:bookmarkStart w:id="174" w:name="_Toc521584569"/>
      <w:bookmarkStart w:id="175" w:name="_Toc7901"/>
      <w:r>
        <w:rPr>
          <w:rFonts w:eastAsiaTheme="minorEastAsia"/>
        </w:rPr>
        <w:t>研究者决定的退出</w:t>
      </w:r>
      <w:bookmarkEnd w:id="174"/>
      <w:bookmarkEnd w:id="175"/>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受试者退出试验是指已经入选的受试者在试验过程中出现了不宜继续进行试验的情况下，研究者决定该例受试者退出试验。</w:t>
      </w:r>
    </w:p>
    <w:p>
      <w:pPr>
        <w:pStyle w:val="50"/>
        <w:numPr>
          <w:ilvl w:val="3"/>
          <w:numId w:val="5"/>
        </w:numPr>
        <w:autoSpaceDE w:val="0"/>
        <w:autoSpaceDN w:val="0"/>
        <w:adjustRightInd w:val="0"/>
        <w:ind w:left="1132" w:leftChars="295" w:hanging="424" w:hangingChars="177"/>
        <w:contextualSpacing/>
        <w:rPr>
          <w:rFonts w:eastAsiaTheme="minorEastAsia"/>
          <w:bCs/>
          <w:color w:val="auto"/>
        </w:rPr>
      </w:pPr>
      <w:r>
        <w:rPr>
          <w:rFonts w:eastAsiaTheme="minorEastAsia"/>
          <w:bCs/>
          <w:color w:val="auto"/>
        </w:rPr>
        <w:t>研究者从医学伦理学角度考虑有必要停止试验。</w:t>
      </w:r>
    </w:p>
    <w:p>
      <w:pPr>
        <w:pStyle w:val="50"/>
        <w:numPr>
          <w:ilvl w:val="3"/>
          <w:numId w:val="5"/>
        </w:numPr>
        <w:autoSpaceDE w:val="0"/>
        <w:autoSpaceDN w:val="0"/>
        <w:adjustRightInd w:val="0"/>
        <w:ind w:left="1132" w:leftChars="295" w:hanging="424" w:hangingChars="177"/>
        <w:contextualSpacing/>
        <w:rPr>
          <w:rFonts w:eastAsiaTheme="minorEastAsia"/>
          <w:bCs/>
          <w:color w:val="auto"/>
        </w:rPr>
      </w:pPr>
      <w:r>
        <w:rPr>
          <w:rFonts w:eastAsiaTheme="minorEastAsia"/>
          <w:bCs/>
          <w:color w:val="auto"/>
        </w:rPr>
        <w:t>发生严重不良事件（SAE），不宜继续接受试验者。</w:t>
      </w:r>
    </w:p>
    <w:p>
      <w:pPr>
        <w:pStyle w:val="50"/>
        <w:numPr>
          <w:ilvl w:val="3"/>
          <w:numId w:val="5"/>
        </w:numPr>
        <w:autoSpaceDE w:val="0"/>
        <w:autoSpaceDN w:val="0"/>
        <w:adjustRightInd w:val="0"/>
        <w:ind w:left="1132" w:leftChars="295" w:hanging="424" w:hangingChars="177"/>
        <w:contextualSpacing/>
        <w:rPr>
          <w:rFonts w:eastAsiaTheme="minorEastAsia"/>
          <w:bCs/>
          <w:color w:val="auto"/>
        </w:rPr>
      </w:pPr>
      <w:r>
        <w:rPr>
          <w:rFonts w:eastAsiaTheme="minorEastAsia"/>
          <w:bCs/>
          <w:color w:val="auto"/>
        </w:rPr>
        <w:t>研究者判断退出研究对受试者最有利；</w:t>
      </w:r>
    </w:p>
    <w:p>
      <w:pPr>
        <w:pStyle w:val="50"/>
        <w:numPr>
          <w:ilvl w:val="3"/>
          <w:numId w:val="5"/>
        </w:numPr>
        <w:autoSpaceDE w:val="0"/>
        <w:autoSpaceDN w:val="0"/>
        <w:adjustRightInd w:val="0"/>
        <w:ind w:left="1132" w:leftChars="295" w:hanging="424" w:hangingChars="177"/>
        <w:contextualSpacing/>
        <w:rPr>
          <w:rFonts w:eastAsiaTheme="minorEastAsia"/>
          <w:bCs/>
          <w:color w:val="auto"/>
        </w:rPr>
      </w:pPr>
      <w:r>
        <w:rPr>
          <w:rFonts w:eastAsiaTheme="minorEastAsia"/>
          <w:bCs/>
          <w:color w:val="auto"/>
        </w:rPr>
        <w:t>受试者依从性差，包括以下情况：</w:t>
      </w:r>
    </w:p>
    <w:p>
      <w:pPr>
        <w:pStyle w:val="50"/>
        <w:numPr>
          <w:ilvl w:val="1"/>
          <w:numId w:val="6"/>
        </w:numPr>
        <w:autoSpaceDE w:val="0"/>
        <w:autoSpaceDN w:val="0"/>
        <w:adjustRightInd w:val="0"/>
        <w:ind w:left="1557" w:leftChars="472" w:hanging="424" w:hangingChars="177"/>
        <w:contextualSpacing/>
        <w:rPr>
          <w:rFonts w:eastAsiaTheme="minorEastAsia"/>
          <w:bCs/>
          <w:color w:val="auto"/>
        </w:rPr>
      </w:pPr>
      <w:r>
        <w:rPr>
          <w:rFonts w:eastAsiaTheme="minorEastAsia"/>
          <w:bCs/>
          <w:color w:val="auto"/>
        </w:rPr>
        <w:t>受试者不按规定用药及接受检查；</w:t>
      </w:r>
    </w:p>
    <w:p>
      <w:pPr>
        <w:pStyle w:val="50"/>
        <w:numPr>
          <w:ilvl w:val="1"/>
          <w:numId w:val="6"/>
        </w:numPr>
        <w:autoSpaceDE w:val="0"/>
        <w:autoSpaceDN w:val="0"/>
        <w:adjustRightInd w:val="0"/>
        <w:ind w:left="1557" w:leftChars="472" w:hanging="424" w:hangingChars="177"/>
        <w:contextualSpacing/>
        <w:rPr>
          <w:rFonts w:eastAsiaTheme="minorEastAsia"/>
          <w:bCs/>
          <w:color w:val="auto"/>
        </w:rPr>
      </w:pPr>
      <w:r>
        <w:rPr>
          <w:rFonts w:eastAsiaTheme="minorEastAsia"/>
          <w:bCs/>
          <w:color w:val="auto"/>
        </w:rPr>
        <w:t>受试者使用其他影响安全性评价及药代动力学试验结果的药物或食物；</w:t>
      </w:r>
    </w:p>
    <w:p>
      <w:pPr>
        <w:pStyle w:val="50"/>
        <w:numPr>
          <w:ilvl w:val="1"/>
          <w:numId w:val="6"/>
        </w:numPr>
        <w:autoSpaceDE w:val="0"/>
        <w:autoSpaceDN w:val="0"/>
        <w:adjustRightInd w:val="0"/>
        <w:ind w:left="1557" w:leftChars="472" w:hanging="424" w:hangingChars="177"/>
        <w:contextualSpacing/>
        <w:rPr>
          <w:rFonts w:eastAsiaTheme="minorEastAsia"/>
          <w:bCs/>
          <w:color w:val="auto"/>
        </w:rPr>
      </w:pPr>
      <w:r>
        <w:rPr>
          <w:rFonts w:eastAsiaTheme="minorEastAsia"/>
          <w:bCs/>
          <w:color w:val="auto"/>
        </w:rPr>
        <w:t>受试者有其他影响试验结果行为。</w:t>
      </w:r>
    </w:p>
    <w:p>
      <w:pPr>
        <w:pStyle w:val="69"/>
        <w:numPr>
          <w:ilvl w:val="0"/>
          <w:numId w:val="22"/>
        </w:numPr>
        <w:autoSpaceDE w:val="0"/>
        <w:autoSpaceDN w:val="0"/>
        <w:snapToGrid/>
        <w:contextualSpacing/>
        <w:rPr>
          <w:rFonts w:eastAsiaTheme="minorEastAsia"/>
        </w:rPr>
      </w:pPr>
      <w:bookmarkStart w:id="176" w:name="_Toc521584570"/>
      <w:bookmarkStart w:id="177" w:name="_Toc3343"/>
      <w:r>
        <w:rPr>
          <w:rFonts w:eastAsiaTheme="minorEastAsia"/>
        </w:rPr>
        <w:t>受试者自行退出研究</w:t>
      </w:r>
      <w:bookmarkEnd w:id="176"/>
      <w:bookmarkEnd w:id="177"/>
    </w:p>
    <w:p>
      <w:pPr>
        <w:pStyle w:val="50"/>
        <w:autoSpaceDE w:val="0"/>
        <w:autoSpaceDN w:val="0"/>
        <w:adjustRightInd w:val="0"/>
        <w:ind w:left="0" w:firstLine="480" w:firstLineChars="200"/>
        <w:contextualSpacing/>
        <w:rPr>
          <w:rFonts w:eastAsiaTheme="minorEastAsia"/>
          <w:bCs/>
          <w:color w:val="auto"/>
        </w:rPr>
      </w:pPr>
      <w:r>
        <w:rPr>
          <w:rFonts w:eastAsiaTheme="minorEastAsia"/>
          <w:bCs/>
          <w:color w:val="auto"/>
        </w:rPr>
        <w:t>根据知情同意书的规定，受试者有权中途退出试验，或受试者虽未撤回知情同意，但不再接受用药及检测而失访（也属于退出，或称脱落）。应尽可能了解其退出的原因，并加以记录。</w:t>
      </w:r>
    </w:p>
    <w:p>
      <w:pPr>
        <w:pStyle w:val="69"/>
        <w:numPr>
          <w:ilvl w:val="0"/>
          <w:numId w:val="22"/>
        </w:numPr>
        <w:autoSpaceDE w:val="0"/>
        <w:autoSpaceDN w:val="0"/>
        <w:snapToGrid/>
        <w:contextualSpacing/>
        <w:rPr>
          <w:rFonts w:eastAsiaTheme="minorEastAsia"/>
        </w:rPr>
      </w:pPr>
      <w:bookmarkStart w:id="178" w:name="_Toc521584571"/>
      <w:bookmarkStart w:id="179" w:name="_Toc21772"/>
      <w:r>
        <w:rPr>
          <w:rFonts w:eastAsiaTheme="minorEastAsia"/>
        </w:rPr>
        <w:t>处理</w:t>
      </w:r>
      <w:bookmarkEnd w:id="178"/>
      <w:bookmarkEnd w:id="179"/>
    </w:p>
    <w:p>
      <w:pPr>
        <w:widowControl w:val="0"/>
        <w:autoSpaceDE w:val="0"/>
        <w:autoSpaceDN w:val="0"/>
        <w:adjustRightInd w:val="0"/>
        <w:ind w:left="0" w:firstLine="480" w:firstLineChars="200"/>
        <w:contextualSpacing/>
        <w:rPr>
          <w:rFonts w:eastAsiaTheme="minorEastAsia"/>
          <w:color w:val="000000"/>
          <w:lang w:eastAsia="zh-CN"/>
        </w:rPr>
      </w:pPr>
      <w:r>
        <w:rPr>
          <w:rFonts w:eastAsiaTheme="minorEastAsia"/>
          <w:lang w:eastAsia="zh-CN"/>
        </w:rPr>
        <w:t>退出的主</w:t>
      </w:r>
      <w:r>
        <w:rPr>
          <w:rFonts w:eastAsiaTheme="minorEastAsia"/>
          <w:color w:val="000000"/>
          <w:lang w:eastAsia="zh-CN"/>
        </w:rPr>
        <w:t>要原因按下列原因之一进行记录：不良事件、失访、方案违背或其他。对于退出的受试者，不应有任何歧视和不利于受试者的行为。退出的受试者当天应进行全面的体格检查。</w:t>
      </w:r>
    </w:p>
    <w:p>
      <w:pPr>
        <w:widowControl w:val="0"/>
        <w:autoSpaceDE w:val="0"/>
        <w:autoSpaceDN w:val="0"/>
        <w:adjustRightInd w:val="0"/>
        <w:spacing w:line="240" w:lineRule="auto"/>
        <w:ind w:left="0" w:firstLine="480" w:firstLineChars="200"/>
        <w:contextualSpacing/>
        <w:rPr>
          <w:rFonts w:eastAsiaTheme="minorEastAsia"/>
          <w:color w:val="000000"/>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180" w:name="_Toc460500112"/>
      <w:bookmarkStart w:id="181" w:name="_Toc460952493"/>
      <w:bookmarkStart w:id="182" w:name="_Toc521584572"/>
      <w:bookmarkStart w:id="183" w:name="_Toc14388"/>
      <w:bookmarkStart w:id="184" w:name="_Toc18182"/>
      <w:r>
        <w:rPr>
          <w:rFonts w:hint="eastAsia" w:ascii="Times New Roman" w:hAnsi="Times New Roman" w:eastAsiaTheme="minorEastAsia"/>
          <w:color w:val="auto"/>
          <w:sz w:val="24"/>
          <w:szCs w:val="24"/>
          <w:lang w:val="en-US" w:eastAsia="zh-CN"/>
        </w:rPr>
        <w:t xml:space="preserve">4     </w:t>
      </w:r>
      <w:r>
        <w:rPr>
          <w:rFonts w:ascii="Times New Roman" w:hAnsi="Times New Roman" w:eastAsiaTheme="minorEastAsia"/>
          <w:color w:val="auto"/>
          <w:sz w:val="24"/>
          <w:szCs w:val="24"/>
          <w:lang w:val="zh-TW" w:eastAsia="zh-TW"/>
        </w:rPr>
        <w:t>试验过程</w:t>
      </w:r>
      <w:bookmarkEnd w:id="180"/>
      <w:bookmarkEnd w:id="181"/>
      <w:bookmarkEnd w:id="182"/>
      <w:bookmarkEnd w:id="183"/>
      <w:bookmarkEnd w:id="184"/>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185" w:name="_Toc20019"/>
      <w:bookmarkStart w:id="186" w:name="_Toc460952494"/>
      <w:bookmarkStart w:id="187" w:name="_Toc521584573"/>
      <w:bookmarkStart w:id="188" w:name="_Toc2924"/>
      <w:bookmarkStart w:id="189" w:name="_Toc460500113"/>
      <w:r>
        <w:rPr>
          <w:rFonts w:ascii="Times New Roman" w:hAnsi="Times New Roman" w:eastAsiaTheme="minorEastAsia"/>
          <w:sz w:val="24"/>
          <w:szCs w:val="24"/>
          <w:lang w:val="zh-TW" w:eastAsia="zh-TW"/>
        </w:rPr>
        <w:t>试验药物信息</w:t>
      </w:r>
      <w:bookmarkEnd w:id="185"/>
      <w:bookmarkEnd w:id="186"/>
      <w:bookmarkEnd w:id="187"/>
    </w:p>
    <w:bookmarkEnd w:id="188"/>
    <w:bookmarkEnd w:id="189"/>
    <w:p>
      <w:pPr>
        <w:widowControl w:val="0"/>
        <w:autoSpaceDE w:val="0"/>
        <w:autoSpaceDN w:val="0"/>
        <w:adjustRightInd w:val="0"/>
        <w:ind w:left="0" w:firstLine="480" w:firstLineChars="200"/>
        <w:contextualSpacing/>
        <w:rPr>
          <w:rFonts w:eastAsiaTheme="minorEastAsia"/>
          <w:color w:val="000000"/>
          <w:lang w:eastAsia="zh-CN"/>
        </w:rPr>
      </w:pPr>
      <w:bookmarkStart w:id="190" w:name="OLE_LINK3"/>
      <w:bookmarkStart w:id="191" w:name="_Toc460500114"/>
      <w:bookmarkStart w:id="192" w:name="_Toc460952495"/>
      <w:bookmarkStart w:id="193" w:name="_Toc521584574"/>
      <w:bookmarkStart w:id="194" w:name="_Toc32198"/>
      <w:r>
        <w:rPr>
          <w:rFonts w:eastAsiaTheme="minorEastAsia"/>
          <w:color w:val="000000"/>
          <w:lang w:eastAsia="zh-CN"/>
        </w:rPr>
        <w:t>受试制剂（T）：</w:t>
      </w:r>
      <w:r>
        <w:rPr>
          <w:rFonts w:eastAsiaTheme="minorEastAsia"/>
          <w:color w:val="000000"/>
          <w:lang w:eastAsia="zh-CN"/>
        </w:rPr>
        <w:fldChar w:fldCharType="begin"/>
      </w:r>
      <w:r>
        <w:rPr>
          <w:rFonts w:eastAsiaTheme="minorEastAsia"/>
          <w:color w:val="000000"/>
          <w:lang w:eastAsia="zh-CN"/>
        </w:rPr>
        <w:instrText xml:space="preserve"> MERGEFIELD T受试制剂 </w:instrText>
      </w:r>
      <w:r>
        <w:rPr>
          <w:rFonts w:eastAsiaTheme="minorEastAsia"/>
          <w:color w:val="000000"/>
          <w:lang w:eastAsia="zh-CN"/>
        </w:rPr>
        <w:fldChar w:fldCharType="separate"/>
      </w:r>
      <w:r>
        <w:rPr>
          <w:rFonts w:hint="eastAsia" w:eastAsiaTheme="minorEastAsia"/>
          <w:color w:val="000000"/>
          <w:lang w:eastAsia="zh-CN"/>
        </w:rPr>
        <w:t>XXXXXX</w:t>
      </w:r>
      <w:r>
        <w:rPr>
          <w:rFonts w:eastAsiaTheme="minorEastAsia"/>
          <w:color w:val="000000"/>
          <w:lang w:eastAsia="zh-CN"/>
        </w:rPr>
        <w:fldChar w:fldCharType="end"/>
      </w:r>
      <w:r>
        <w:rPr>
          <w:rFonts w:eastAsiaTheme="minorEastAsia"/>
          <w:color w:val="000000"/>
          <w:lang w:eastAsia="zh-CN"/>
        </w:rPr>
        <w:t>，规格：</w:t>
      </w:r>
      <w:r>
        <w:rPr>
          <w:rFonts w:eastAsiaTheme="minorEastAsia"/>
          <w:color w:val="000000"/>
          <w:lang w:eastAsia="zh-CN"/>
        </w:rPr>
        <w:fldChar w:fldCharType="begin"/>
      </w:r>
      <w:r>
        <w:rPr>
          <w:rFonts w:eastAsiaTheme="minorEastAsia"/>
          <w:color w:val="000000"/>
          <w:lang w:eastAsia="zh-CN"/>
        </w:rPr>
        <w:instrText xml:space="preserve"> MERGEFIELD T规格 </w:instrText>
      </w:r>
      <w:r>
        <w:rPr>
          <w:rFonts w:eastAsiaTheme="minorEastAsia"/>
          <w:color w:val="000000"/>
          <w:lang w:eastAsia="zh-CN"/>
        </w:rPr>
        <w:fldChar w:fldCharType="separate"/>
      </w:r>
      <w:r>
        <w:rPr>
          <w:rFonts w:hint="eastAsia" w:eastAsiaTheme="minorEastAsia"/>
          <w:color w:val="000000"/>
          <w:lang w:eastAsia="zh-CN"/>
        </w:rPr>
        <w:t>XXg</w:t>
      </w:r>
      <w:r>
        <w:rPr>
          <w:rFonts w:eastAsiaTheme="minorEastAsia"/>
          <w:color w:val="000000"/>
          <w:lang w:eastAsia="zh-CN"/>
        </w:rPr>
        <w:t>/</w:t>
      </w:r>
      <w:r>
        <w:rPr>
          <w:rFonts w:hint="eastAsia" w:eastAsiaTheme="minorEastAsia"/>
          <w:color w:val="000000"/>
          <w:lang w:eastAsia="zh-CN"/>
        </w:rPr>
        <w:t>片</w:t>
      </w:r>
      <w:r>
        <w:rPr>
          <w:rFonts w:eastAsiaTheme="minorEastAsia"/>
          <w:color w:val="000000"/>
          <w:lang w:eastAsia="zh-CN"/>
        </w:rPr>
        <w:fldChar w:fldCharType="end"/>
      </w:r>
      <w:r>
        <w:rPr>
          <w:rFonts w:eastAsiaTheme="minorEastAsia"/>
          <w:color w:val="000000"/>
          <w:lang w:eastAsia="zh-CN"/>
        </w:rPr>
        <w:t>，批号：</w:t>
      </w:r>
      <w:r>
        <w:rPr>
          <w:rFonts w:hint="eastAsia" w:eastAsiaTheme="minorEastAsia"/>
          <w:color w:val="3417E7"/>
          <w:lang w:eastAsia="zh-CN"/>
        </w:rPr>
        <w:t>****</w:t>
      </w:r>
      <w:r>
        <w:rPr>
          <w:rFonts w:eastAsiaTheme="minorEastAsia"/>
          <w:color w:val="3417E7"/>
          <w:lang w:eastAsia="zh-CN"/>
        </w:rPr>
        <w:t>，含量：</w:t>
      </w:r>
      <w:r>
        <w:rPr>
          <w:rFonts w:hint="eastAsia" w:eastAsiaTheme="minorEastAsia"/>
          <w:color w:val="3417E7"/>
          <w:lang w:eastAsia="zh-CN"/>
        </w:rPr>
        <w:t>***</w:t>
      </w:r>
      <w:r>
        <w:rPr>
          <w:rFonts w:eastAsiaTheme="minorEastAsia"/>
          <w:color w:val="3417E7"/>
          <w:lang w:eastAsia="zh-CN"/>
        </w:rPr>
        <w:t>，有效期至：</w:t>
      </w:r>
      <w:r>
        <w:rPr>
          <w:rFonts w:hint="eastAsia" w:eastAsiaTheme="minorEastAsia"/>
          <w:color w:val="3417E7"/>
          <w:lang w:eastAsia="zh-CN"/>
        </w:rPr>
        <w:t>****</w:t>
      </w:r>
      <w:r>
        <w:rPr>
          <w:rFonts w:eastAsiaTheme="minorEastAsia"/>
          <w:color w:val="3417E7"/>
          <w:lang w:eastAsia="zh-CN"/>
        </w:rPr>
        <w:t>，</w:t>
      </w:r>
      <w:r>
        <w:rPr>
          <w:rFonts w:eastAsiaTheme="minorEastAsia"/>
          <w:color w:val="000000"/>
          <w:lang w:eastAsia="zh-CN"/>
        </w:rPr>
        <w:fldChar w:fldCharType="begin"/>
      </w:r>
      <w:r>
        <w:rPr>
          <w:rFonts w:eastAsiaTheme="minorEastAsia"/>
          <w:color w:val="000000"/>
          <w:lang w:eastAsia="zh-CN"/>
        </w:rPr>
        <w:instrText xml:space="preserve"> MERGEFIELD T申办方 </w:instrText>
      </w:r>
      <w:r>
        <w:rPr>
          <w:rFonts w:eastAsiaTheme="minorEastAsia"/>
          <w:color w:val="000000"/>
          <w:lang w:eastAsia="zh-CN"/>
        </w:rPr>
        <w:fldChar w:fldCharType="separate"/>
      </w:r>
      <w:r>
        <w:rPr>
          <w:rFonts w:hint="eastAsia" w:eastAsiaTheme="minorEastAsia"/>
          <w:color w:val="000000"/>
          <w:lang w:eastAsia="zh-CN"/>
        </w:rPr>
        <w:t>XXXXXX</w:t>
      </w:r>
      <w:r>
        <w:rPr>
          <w:rFonts w:eastAsiaTheme="minorEastAsia"/>
          <w:color w:val="000000"/>
          <w:lang w:eastAsia="zh-CN"/>
        </w:rPr>
        <w:fldChar w:fldCharType="end"/>
      </w:r>
      <w:r>
        <w:rPr>
          <w:rFonts w:eastAsiaTheme="minorEastAsia"/>
          <w:color w:val="000000"/>
          <w:lang w:eastAsia="zh-CN"/>
        </w:rPr>
        <w:t>生产并提供。用于受试者的同规格药物均来自同一批号。保存方法：</w:t>
      </w:r>
      <w:r>
        <w:rPr>
          <w:rFonts w:hint="eastAsia"/>
          <w:lang w:eastAsia="zh-CN"/>
        </w:rPr>
        <w:t>遮光，密封保存（</w:t>
      </w:r>
      <w:r>
        <w:rPr>
          <w:rFonts w:hint="eastAsia"/>
          <w:lang w:val="en-US" w:eastAsia="zh-CN"/>
        </w:rPr>
        <w:t>10～30℃</w:t>
      </w:r>
      <w:r>
        <w:rPr>
          <w:rFonts w:hint="eastAsia"/>
          <w:lang w:eastAsia="zh-CN"/>
        </w:rPr>
        <w:t>）</w:t>
      </w:r>
      <w:r>
        <w:rPr>
          <w:rFonts w:eastAsiaTheme="minorEastAsia"/>
          <w:color w:val="000000"/>
          <w:lang w:eastAsia="zh-CN"/>
        </w:rPr>
        <w:t>。</w:t>
      </w:r>
    </w:p>
    <w:p>
      <w:pPr>
        <w:widowControl w:val="0"/>
        <w:autoSpaceDE w:val="0"/>
        <w:autoSpaceDN w:val="0"/>
        <w:adjustRightInd w:val="0"/>
        <w:ind w:left="0" w:firstLine="480" w:firstLineChars="200"/>
        <w:contextualSpacing/>
        <w:rPr>
          <w:rFonts w:eastAsiaTheme="minorEastAsia"/>
          <w:lang w:eastAsia="zh-CN"/>
        </w:rPr>
      </w:pPr>
      <w:r>
        <w:rPr>
          <w:rFonts w:eastAsiaTheme="minorEastAsia"/>
          <w:color w:val="000000"/>
          <w:lang w:eastAsia="zh-CN"/>
        </w:rPr>
        <w:t>参比制剂（R）：</w:t>
      </w:r>
      <w:r>
        <w:rPr>
          <w:rFonts w:eastAsiaTheme="minorEastAsia"/>
          <w:color w:val="000000"/>
          <w:lang w:eastAsia="zh-CN"/>
        </w:rPr>
        <w:fldChar w:fldCharType="begin"/>
      </w:r>
      <w:r>
        <w:rPr>
          <w:rFonts w:eastAsiaTheme="minorEastAsia"/>
          <w:color w:val="000000"/>
          <w:lang w:eastAsia="zh-CN"/>
        </w:rPr>
        <w:instrText xml:space="preserve"> MERGEFIELD R参比制剂 </w:instrText>
      </w:r>
      <w:r>
        <w:rPr>
          <w:rFonts w:eastAsiaTheme="minorEastAsia"/>
          <w:color w:val="000000"/>
          <w:lang w:eastAsia="zh-CN"/>
        </w:rPr>
        <w:fldChar w:fldCharType="separate"/>
      </w:r>
      <w:r>
        <w:rPr>
          <w:rFonts w:hint="eastAsia" w:eastAsiaTheme="minorEastAsia"/>
          <w:color w:val="000000"/>
          <w:lang w:eastAsia="zh-CN"/>
        </w:rPr>
        <w:t>XXXXXX</w:t>
      </w:r>
      <w:r>
        <w:rPr>
          <w:rFonts w:eastAsiaTheme="minorEastAsia"/>
          <w:color w:val="000000"/>
          <w:lang w:eastAsia="zh-CN"/>
        </w:rPr>
        <w:fldChar w:fldCharType="end"/>
      </w:r>
      <w:r>
        <w:rPr>
          <w:rFonts w:eastAsiaTheme="minorEastAsia"/>
          <w:color w:val="000000"/>
          <w:lang w:eastAsia="zh-CN"/>
        </w:rPr>
        <w:t>（商品名：</w:t>
      </w:r>
      <w:r>
        <w:rPr>
          <w:rFonts w:hint="eastAsia"/>
          <w:color w:val="000000"/>
          <w:sz w:val="21"/>
          <w:szCs w:val="21"/>
          <w:lang w:eastAsia="zh-CN" w:bidi="ar"/>
        </w:rPr>
        <w:t>XXX</w:t>
      </w:r>
      <w:r>
        <w:rPr>
          <w:rFonts w:eastAsiaTheme="minorEastAsia"/>
          <w:color w:val="000000"/>
          <w:lang w:eastAsia="zh-CN"/>
        </w:rPr>
        <w:t>），规格：</w:t>
      </w:r>
      <w:r>
        <w:rPr>
          <w:rFonts w:eastAsiaTheme="minorEastAsia"/>
          <w:color w:val="000000"/>
          <w:lang w:eastAsia="zh-CN"/>
        </w:rPr>
        <w:fldChar w:fldCharType="begin"/>
      </w:r>
      <w:r>
        <w:rPr>
          <w:rFonts w:eastAsiaTheme="minorEastAsia"/>
          <w:color w:val="000000"/>
          <w:lang w:eastAsia="zh-CN"/>
        </w:rPr>
        <w:instrText xml:space="preserve"> MERGEFIELD R规格 </w:instrText>
      </w:r>
      <w:r>
        <w:rPr>
          <w:rFonts w:eastAsiaTheme="minorEastAsia"/>
          <w:color w:val="000000"/>
          <w:lang w:eastAsia="zh-CN"/>
        </w:rPr>
        <w:fldChar w:fldCharType="separate"/>
      </w:r>
      <w:r>
        <w:rPr>
          <w:rFonts w:hint="eastAsia" w:eastAsiaTheme="minorEastAsia"/>
          <w:color w:val="000000"/>
          <w:lang w:eastAsia="zh-CN"/>
        </w:rPr>
        <w:t>XXg</w:t>
      </w:r>
      <w:r>
        <w:rPr>
          <w:rFonts w:eastAsiaTheme="minorEastAsia"/>
          <w:color w:val="000000"/>
          <w:lang w:eastAsia="zh-CN"/>
        </w:rPr>
        <w:t>/</w:t>
      </w:r>
      <w:r>
        <w:rPr>
          <w:rFonts w:hint="eastAsia" w:eastAsiaTheme="minorEastAsia"/>
          <w:color w:val="000000"/>
          <w:lang w:eastAsia="zh-CN"/>
        </w:rPr>
        <w:t>片</w:t>
      </w:r>
      <w:r>
        <w:rPr>
          <w:rFonts w:eastAsiaTheme="minorEastAsia"/>
          <w:color w:val="000000"/>
          <w:lang w:eastAsia="zh-CN"/>
        </w:rPr>
        <w:fldChar w:fldCharType="end"/>
      </w:r>
      <w:r>
        <w:rPr>
          <w:rFonts w:eastAsiaTheme="minorEastAsia"/>
          <w:color w:val="000000"/>
          <w:lang w:eastAsia="zh-CN"/>
        </w:rPr>
        <w:t>，批号：F79760，含量：</w:t>
      </w:r>
      <w:r>
        <w:rPr>
          <w:rFonts w:hint="eastAsia" w:eastAsiaTheme="minorEastAsia"/>
          <w:color w:val="000000"/>
          <w:lang w:eastAsia="zh-CN"/>
        </w:rPr>
        <w:t>9</w:t>
      </w:r>
      <w:r>
        <w:rPr>
          <w:rFonts w:eastAsiaTheme="minorEastAsia"/>
          <w:color w:val="000000"/>
          <w:lang w:eastAsia="zh-CN"/>
        </w:rPr>
        <w:t>9.0</w:t>
      </w:r>
      <w:r>
        <w:rPr>
          <w:rFonts w:hint="eastAsia" w:eastAsiaTheme="minorEastAsia"/>
          <w:color w:val="000000"/>
          <w:lang w:eastAsia="zh-CN"/>
        </w:rPr>
        <w:t>%</w:t>
      </w:r>
      <w:r>
        <w:rPr>
          <w:rFonts w:eastAsiaTheme="minorEastAsia"/>
          <w:color w:val="000000"/>
          <w:lang w:eastAsia="zh-CN"/>
        </w:rPr>
        <w:t>，有效期至：</w:t>
      </w:r>
      <w:r>
        <w:rPr>
          <w:rFonts w:hint="eastAsia" w:eastAsiaTheme="minorEastAsia"/>
          <w:color w:val="000000"/>
          <w:lang w:eastAsia="zh-CN"/>
        </w:rPr>
        <w:t>2020年0</w:t>
      </w:r>
      <w:r>
        <w:rPr>
          <w:rFonts w:eastAsiaTheme="minorEastAsia"/>
          <w:color w:val="000000"/>
          <w:lang w:eastAsia="zh-CN"/>
        </w:rPr>
        <w:t>5</w:t>
      </w:r>
      <w:r>
        <w:rPr>
          <w:rFonts w:hint="eastAsia" w:eastAsiaTheme="minorEastAsia"/>
          <w:color w:val="000000"/>
          <w:lang w:eastAsia="zh-CN"/>
        </w:rPr>
        <w:t>月</w:t>
      </w:r>
      <w:r>
        <w:rPr>
          <w:rFonts w:eastAsiaTheme="minorEastAsia"/>
          <w:color w:val="000000"/>
          <w:lang w:eastAsia="zh-CN"/>
        </w:rPr>
        <w:t>，</w:t>
      </w:r>
      <w:r>
        <w:rPr>
          <w:rFonts w:hint="eastAsia"/>
          <w:color w:val="000000"/>
          <w:sz w:val="21"/>
          <w:szCs w:val="21"/>
          <w:lang w:eastAsia="zh-CN" w:bidi="ar"/>
        </w:rPr>
        <w:t>XXXXXX</w:t>
      </w:r>
      <w:r>
        <w:rPr>
          <w:rFonts w:eastAsiaTheme="minorEastAsia"/>
          <w:lang w:eastAsia="zh-CN"/>
        </w:rPr>
        <w:t>生产；</w:t>
      </w:r>
      <w:r>
        <w:rPr>
          <w:rFonts w:eastAsiaTheme="minorEastAsia"/>
          <w:color w:val="000000"/>
          <w:lang w:eastAsia="zh-CN"/>
        </w:rPr>
        <w:fldChar w:fldCharType="begin"/>
      </w:r>
      <w:r>
        <w:rPr>
          <w:rFonts w:eastAsiaTheme="minorEastAsia"/>
          <w:color w:val="000000"/>
          <w:lang w:eastAsia="zh-CN"/>
        </w:rPr>
        <w:instrText xml:space="preserve"> MERGEFIELD T申办方 </w:instrText>
      </w:r>
      <w:r>
        <w:rPr>
          <w:rFonts w:eastAsiaTheme="minorEastAsia"/>
          <w:color w:val="000000"/>
          <w:lang w:eastAsia="zh-CN"/>
        </w:rPr>
        <w:fldChar w:fldCharType="separate"/>
      </w:r>
      <w:r>
        <w:rPr>
          <w:rFonts w:hint="eastAsia" w:eastAsiaTheme="minorEastAsia"/>
          <w:color w:val="000000"/>
          <w:lang w:eastAsia="zh-CN"/>
        </w:rPr>
        <w:t>XXXXXX</w:t>
      </w:r>
      <w:r>
        <w:rPr>
          <w:rFonts w:eastAsiaTheme="minorEastAsia"/>
          <w:color w:val="000000"/>
          <w:lang w:eastAsia="zh-CN"/>
        </w:rPr>
        <w:fldChar w:fldCharType="end"/>
      </w:r>
      <w:r>
        <w:rPr>
          <w:rFonts w:eastAsiaTheme="minorEastAsia"/>
          <w:lang w:eastAsia="zh-CN"/>
        </w:rPr>
        <w:t>提供。用于受试者的同规格药物均来自同一批号。保存方法：</w:t>
      </w:r>
      <w:r>
        <w:rPr>
          <w:rFonts w:hint="eastAsia" w:eastAsiaTheme="minorEastAsia"/>
          <w:color w:val="000000"/>
          <w:lang w:eastAsia="zh-CN"/>
        </w:rPr>
        <w:t>室温</w:t>
      </w:r>
      <w:r>
        <w:rPr>
          <w:rFonts w:eastAsiaTheme="minorEastAsia"/>
          <w:color w:val="000000"/>
          <w:lang w:eastAsia="zh-CN"/>
        </w:rPr>
        <w:t>，密闭容器</w:t>
      </w:r>
      <w:r>
        <w:rPr>
          <w:rFonts w:hint="eastAsia"/>
          <w:lang w:eastAsia="zh-CN"/>
        </w:rPr>
        <w:t>（</w:t>
      </w:r>
      <w:r>
        <w:rPr>
          <w:rFonts w:hint="eastAsia"/>
          <w:lang w:val="en-US" w:eastAsia="zh-CN"/>
        </w:rPr>
        <w:t>10～30℃</w:t>
      </w:r>
      <w:r>
        <w:rPr>
          <w:rFonts w:hint="eastAsia"/>
          <w:lang w:eastAsia="zh-CN"/>
        </w:rPr>
        <w:t>）</w:t>
      </w:r>
      <w:r>
        <w:rPr>
          <w:rFonts w:eastAsiaTheme="minorEastAsia"/>
          <w:color w:val="000000"/>
          <w:lang w:eastAsia="zh-CN"/>
        </w:rPr>
        <w:t>。</w:t>
      </w:r>
    </w:p>
    <w:p>
      <w:pPr>
        <w:widowControl w:val="0"/>
        <w:autoSpaceDE w:val="0"/>
        <w:autoSpaceDN w:val="0"/>
        <w:adjustRightInd w:val="0"/>
        <w:ind w:left="0" w:firstLine="480" w:firstLineChars="200"/>
        <w:contextualSpacing/>
        <w:rPr>
          <w:rFonts w:eastAsiaTheme="minorEastAsia"/>
          <w:color w:val="000000"/>
          <w:lang w:eastAsia="zh-CN"/>
        </w:rPr>
      </w:pPr>
      <w:r>
        <w:rPr>
          <w:rFonts w:eastAsiaTheme="minorEastAsia"/>
          <w:color w:val="000000"/>
          <w:lang w:eastAsia="zh-CN"/>
        </w:rPr>
        <w:t>药品标签：</w:t>
      </w:r>
    </w:p>
    <w:tbl>
      <w:tblPr>
        <w:tblStyle w:val="27"/>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7"/>
        <w:gridCol w:w="4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trPr>
        <w:tc>
          <w:tcPr>
            <w:tcW w:w="4617" w:type="dxa"/>
            <w:tcMar>
              <w:top w:w="113" w:type="dxa"/>
              <w:bottom w:w="113" w:type="dxa"/>
            </w:tcMar>
          </w:tcPr>
          <w:p>
            <w:pPr>
              <w:widowControl w:val="0"/>
              <w:autoSpaceDE w:val="0"/>
              <w:autoSpaceDN w:val="0"/>
              <w:adjustRightInd w:val="0"/>
              <w:spacing w:line="240" w:lineRule="auto"/>
              <w:ind w:left="1113" w:hanging="1113" w:hangingChars="530"/>
              <w:contextualSpacing/>
              <w:jc w:val="center"/>
              <w:rPr>
                <w:rFonts w:eastAsiaTheme="minorEastAsia"/>
                <w:color w:val="000000"/>
                <w:spacing w:val="-8"/>
                <w:sz w:val="21"/>
                <w:szCs w:val="21"/>
                <w:lang w:eastAsia="zh-CN"/>
              </w:rPr>
            </w:pP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T受试制剂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XXXXXX</w:t>
            </w:r>
            <w:r>
              <w:rPr>
                <w:rFonts w:eastAsiaTheme="minorEastAsia"/>
                <w:color w:val="000000"/>
                <w:sz w:val="21"/>
                <w:szCs w:val="21"/>
                <w:lang w:eastAsia="zh-CN"/>
              </w:rPr>
              <w:fldChar w:fldCharType="end"/>
            </w:r>
            <w:r>
              <w:rPr>
                <w:rFonts w:eastAsiaTheme="minorEastAsia"/>
                <w:color w:val="000000"/>
                <w:spacing w:val="-8"/>
                <w:sz w:val="21"/>
                <w:szCs w:val="21"/>
                <w:lang w:eastAsia="zh-CN"/>
              </w:rPr>
              <w:t>人体生物等效性</w:t>
            </w:r>
            <w:r>
              <w:rPr>
                <w:rFonts w:hint="eastAsia" w:eastAsiaTheme="minorEastAsia"/>
                <w:color w:val="000000"/>
                <w:spacing w:val="-8"/>
                <w:sz w:val="21"/>
                <w:szCs w:val="21"/>
                <w:lang w:eastAsia="zh-CN"/>
              </w:rPr>
              <w:t>试验</w:t>
            </w:r>
          </w:p>
          <w:p>
            <w:pPr>
              <w:widowControl w:val="0"/>
              <w:autoSpaceDE w:val="0"/>
              <w:autoSpaceDN w:val="0"/>
              <w:adjustRightInd w:val="0"/>
              <w:spacing w:line="240" w:lineRule="auto"/>
              <w:contextualSpacing/>
              <w:jc w:val="center"/>
              <w:rPr>
                <w:rFonts w:eastAsiaTheme="minorEastAsia"/>
                <w:color w:val="000000"/>
                <w:sz w:val="21"/>
                <w:szCs w:val="21"/>
                <w:lang w:eastAsia="zh-CN"/>
              </w:rPr>
            </w:pPr>
            <w:r>
              <w:rPr>
                <w:rFonts w:eastAsiaTheme="minorEastAsia"/>
                <w:color w:val="000000"/>
                <w:sz w:val="21"/>
                <w:szCs w:val="21"/>
                <w:lang w:eastAsia="zh-CN"/>
              </w:rPr>
              <w:t>（受试制剂-T）（仅用于临床研究）</w:t>
            </w:r>
          </w:p>
          <w:p>
            <w:pPr>
              <w:widowControl w:val="0"/>
              <w:autoSpaceDE w:val="0"/>
              <w:autoSpaceDN w:val="0"/>
              <w:adjustRightInd w:val="0"/>
              <w:spacing w:line="240" w:lineRule="auto"/>
              <w:contextualSpacing/>
              <w:rPr>
                <w:rFonts w:eastAsiaTheme="minorEastAsia"/>
                <w:color w:val="000000"/>
                <w:sz w:val="21"/>
                <w:szCs w:val="21"/>
                <w:lang w:eastAsia="zh-CN"/>
              </w:rPr>
            </w:pP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【名称】：</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T受试制剂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XXXXXX</w:t>
            </w:r>
            <w:r>
              <w:rPr>
                <w:rFonts w:eastAsiaTheme="minorEastAsia"/>
                <w:color w:val="000000"/>
                <w:sz w:val="21"/>
                <w:szCs w:val="21"/>
                <w:lang w:eastAsia="zh-CN"/>
              </w:rPr>
              <w:fldChar w:fldCharType="end"/>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【剂型】：</w:t>
            </w:r>
            <w:r>
              <w:rPr>
                <w:rFonts w:hint="eastAsia" w:eastAsiaTheme="minorEastAsia"/>
                <w:color w:val="000000"/>
                <w:sz w:val="21"/>
                <w:szCs w:val="21"/>
                <w:lang w:eastAsia="zh-CN"/>
              </w:rPr>
              <w:t>片</w:t>
            </w:r>
            <w:r>
              <w:rPr>
                <w:rFonts w:eastAsiaTheme="minorEastAsia"/>
                <w:color w:val="000000"/>
                <w:sz w:val="21"/>
                <w:szCs w:val="21"/>
                <w:lang w:eastAsia="zh-CN"/>
              </w:rPr>
              <w:t>剂</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【规格】：</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T规格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XXg</w:t>
            </w:r>
            <w:r>
              <w:rPr>
                <w:rFonts w:eastAsiaTheme="minorEastAsia"/>
                <w:color w:val="000000"/>
                <w:sz w:val="21"/>
                <w:szCs w:val="21"/>
                <w:lang w:eastAsia="zh-CN"/>
              </w:rPr>
              <w:t>/</w:t>
            </w:r>
            <w:r>
              <w:rPr>
                <w:rFonts w:hint="eastAsia" w:eastAsiaTheme="minorEastAsia"/>
                <w:color w:val="000000"/>
                <w:sz w:val="21"/>
                <w:szCs w:val="21"/>
                <w:lang w:eastAsia="zh-CN"/>
              </w:rPr>
              <w:t>片</w:t>
            </w:r>
            <w:r>
              <w:rPr>
                <w:rFonts w:eastAsiaTheme="minorEastAsia"/>
                <w:color w:val="000000"/>
                <w:sz w:val="21"/>
                <w:szCs w:val="21"/>
                <w:lang w:eastAsia="zh-CN"/>
              </w:rPr>
              <w:fldChar w:fldCharType="end"/>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【用法用量】：口服，</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T给药剂量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XXg</w:t>
            </w:r>
            <w:r>
              <w:rPr>
                <w:rFonts w:eastAsiaTheme="minorEastAsia"/>
                <w:color w:val="000000"/>
                <w:sz w:val="21"/>
                <w:szCs w:val="21"/>
                <w:lang w:eastAsia="zh-CN"/>
              </w:rPr>
              <w:t>（1</w:t>
            </w:r>
            <w:r>
              <w:rPr>
                <w:rFonts w:hint="eastAsia" w:eastAsiaTheme="minorEastAsia"/>
                <w:color w:val="000000"/>
                <w:sz w:val="21"/>
                <w:szCs w:val="21"/>
                <w:lang w:eastAsia="zh-CN"/>
              </w:rPr>
              <w:t>片</w:t>
            </w:r>
            <w:r>
              <w:rPr>
                <w:rFonts w:eastAsiaTheme="minorEastAsia"/>
                <w:color w:val="000000"/>
                <w:sz w:val="21"/>
                <w:szCs w:val="21"/>
                <w:lang w:eastAsia="zh-CN"/>
              </w:rPr>
              <w:t>）</w:t>
            </w:r>
            <w:r>
              <w:rPr>
                <w:rFonts w:eastAsiaTheme="minorEastAsia"/>
                <w:color w:val="000000"/>
                <w:sz w:val="21"/>
                <w:szCs w:val="21"/>
                <w:lang w:eastAsia="zh-CN"/>
              </w:rPr>
              <w:fldChar w:fldCharType="end"/>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【批号】：</w:t>
            </w:r>
            <w:r>
              <w:rPr>
                <w:rFonts w:hint="eastAsia" w:eastAsiaTheme="minorEastAsia"/>
                <w:color w:val="000000"/>
                <w:sz w:val="21"/>
                <w:szCs w:val="21"/>
                <w:lang w:eastAsia="zh-CN"/>
              </w:rPr>
              <w:t>****</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【有效期】：*****</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【包装】：100</w:t>
            </w:r>
            <w:r>
              <w:rPr>
                <w:rFonts w:hint="eastAsia" w:eastAsiaTheme="minorEastAsia"/>
                <w:color w:val="000000"/>
                <w:sz w:val="21"/>
                <w:szCs w:val="21"/>
                <w:lang w:eastAsia="zh-CN"/>
              </w:rPr>
              <w:t>片/瓶</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【储藏】：遮光，密封保存</w:t>
            </w:r>
            <w:r>
              <w:rPr>
                <w:rFonts w:hint="eastAsia" w:eastAsiaTheme="minorEastAsia"/>
                <w:color w:val="000000"/>
                <w:sz w:val="21"/>
                <w:szCs w:val="21"/>
                <w:lang w:eastAsia="zh-CN"/>
              </w:rPr>
              <w:t>（10～30℃）</w:t>
            </w:r>
            <w:r>
              <w:rPr>
                <w:rFonts w:eastAsiaTheme="minorEastAsia"/>
                <w:color w:val="000000"/>
                <w:sz w:val="21"/>
                <w:szCs w:val="21"/>
                <w:lang w:eastAsia="zh-CN"/>
              </w:rPr>
              <w:t>。</w:t>
            </w:r>
          </w:p>
          <w:p>
            <w:pPr>
              <w:widowControl w:val="0"/>
              <w:autoSpaceDE w:val="0"/>
              <w:autoSpaceDN w:val="0"/>
              <w:adjustRightInd w:val="0"/>
              <w:spacing w:line="240" w:lineRule="auto"/>
              <w:ind w:right="-120" w:rightChars="-50"/>
              <w:contextualSpacing/>
              <w:rPr>
                <w:rFonts w:eastAsiaTheme="minorEastAsia"/>
                <w:color w:val="000000"/>
                <w:sz w:val="21"/>
                <w:szCs w:val="21"/>
                <w:lang w:eastAsia="zh-CN"/>
              </w:rPr>
            </w:pPr>
            <w:r>
              <w:rPr>
                <w:rFonts w:eastAsiaTheme="minorEastAsia"/>
                <w:color w:val="000000"/>
                <w:sz w:val="21"/>
                <w:szCs w:val="21"/>
                <w:lang w:eastAsia="zh-CN"/>
              </w:rPr>
              <w:t>【生产厂家】：</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T申办方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XXXXXX</w:t>
            </w:r>
            <w:r>
              <w:rPr>
                <w:rFonts w:eastAsiaTheme="minorEastAsia"/>
                <w:color w:val="000000"/>
                <w:sz w:val="21"/>
                <w:szCs w:val="21"/>
                <w:lang w:eastAsia="zh-CN"/>
              </w:rPr>
              <w:fldChar w:fldCharType="end"/>
            </w:r>
          </w:p>
        </w:tc>
        <w:tc>
          <w:tcPr>
            <w:tcW w:w="4618" w:type="dxa"/>
            <w:tcMar>
              <w:top w:w="113" w:type="dxa"/>
              <w:bottom w:w="113" w:type="dxa"/>
            </w:tcMar>
          </w:tcPr>
          <w:p>
            <w:pPr>
              <w:widowControl w:val="0"/>
              <w:autoSpaceDE w:val="0"/>
              <w:autoSpaceDN w:val="0"/>
              <w:adjustRightInd w:val="0"/>
              <w:spacing w:line="240" w:lineRule="auto"/>
              <w:ind w:left="1113" w:hanging="1113" w:hangingChars="530"/>
              <w:contextualSpacing/>
              <w:jc w:val="center"/>
              <w:rPr>
                <w:rFonts w:eastAsiaTheme="minorEastAsia"/>
                <w:color w:val="000000"/>
                <w:spacing w:val="-8"/>
                <w:sz w:val="21"/>
                <w:szCs w:val="21"/>
                <w:lang w:eastAsia="zh-CN"/>
              </w:rPr>
            </w:pP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T受试制剂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XXXXXX</w:t>
            </w:r>
            <w:r>
              <w:rPr>
                <w:rFonts w:eastAsiaTheme="minorEastAsia"/>
                <w:color w:val="000000"/>
                <w:sz w:val="21"/>
                <w:szCs w:val="21"/>
                <w:lang w:eastAsia="zh-CN"/>
              </w:rPr>
              <w:fldChar w:fldCharType="end"/>
            </w:r>
            <w:r>
              <w:rPr>
                <w:rFonts w:eastAsiaTheme="minorEastAsia"/>
                <w:color w:val="000000"/>
                <w:spacing w:val="-8"/>
                <w:sz w:val="21"/>
                <w:szCs w:val="21"/>
                <w:lang w:eastAsia="zh-CN"/>
              </w:rPr>
              <w:t>人体生物等效性</w:t>
            </w:r>
            <w:r>
              <w:rPr>
                <w:rFonts w:hint="eastAsia" w:eastAsiaTheme="minorEastAsia"/>
                <w:color w:val="000000"/>
                <w:spacing w:val="-8"/>
                <w:sz w:val="21"/>
                <w:szCs w:val="21"/>
                <w:lang w:eastAsia="zh-CN"/>
              </w:rPr>
              <w:t>试验</w:t>
            </w:r>
          </w:p>
          <w:p>
            <w:pPr>
              <w:widowControl w:val="0"/>
              <w:autoSpaceDE w:val="0"/>
              <w:autoSpaceDN w:val="0"/>
              <w:adjustRightInd w:val="0"/>
              <w:spacing w:line="240" w:lineRule="auto"/>
              <w:contextualSpacing/>
              <w:jc w:val="center"/>
              <w:rPr>
                <w:rFonts w:eastAsiaTheme="minorEastAsia"/>
                <w:color w:val="000000"/>
                <w:sz w:val="21"/>
                <w:szCs w:val="21"/>
                <w:lang w:eastAsia="zh-CN"/>
              </w:rPr>
            </w:pPr>
            <w:r>
              <w:rPr>
                <w:rFonts w:eastAsiaTheme="minorEastAsia"/>
                <w:color w:val="000000"/>
                <w:sz w:val="21"/>
                <w:szCs w:val="21"/>
                <w:lang w:eastAsia="zh-CN"/>
              </w:rPr>
              <w:t>（参比制剂-R）（仅用于临床研究）</w:t>
            </w:r>
          </w:p>
          <w:p>
            <w:pPr>
              <w:widowControl w:val="0"/>
              <w:autoSpaceDE w:val="0"/>
              <w:autoSpaceDN w:val="0"/>
              <w:adjustRightInd w:val="0"/>
              <w:spacing w:line="240" w:lineRule="auto"/>
              <w:contextualSpacing/>
              <w:jc w:val="center"/>
              <w:rPr>
                <w:rFonts w:eastAsiaTheme="minorEastAsia"/>
                <w:color w:val="000000"/>
                <w:sz w:val="21"/>
                <w:szCs w:val="21"/>
                <w:lang w:eastAsia="zh-CN"/>
              </w:rPr>
            </w:pP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【名称】：</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R参比制剂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XXXXXX</w:t>
            </w:r>
            <w:r>
              <w:rPr>
                <w:rFonts w:eastAsiaTheme="minorEastAsia"/>
                <w:color w:val="000000"/>
                <w:sz w:val="21"/>
                <w:szCs w:val="21"/>
                <w:lang w:eastAsia="zh-CN"/>
              </w:rPr>
              <w:fldChar w:fldCharType="end"/>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【剂型】：</w:t>
            </w:r>
            <w:r>
              <w:rPr>
                <w:rFonts w:hint="eastAsia" w:eastAsiaTheme="minorEastAsia"/>
                <w:color w:val="000000"/>
                <w:sz w:val="21"/>
                <w:szCs w:val="21"/>
                <w:lang w:eastAsia="zh-CN"/>
              </w:rPr>
              <w:t>片</w:t>
            </w:r>
            <w:r>
              <w:rPr>
                <w:rFonts w:eastAsiaTheme="minorEastAsia"/>
                <w:color w:val="000000"/>
                <w:sz w:val="21"/>
                <w:szCs w:val="21"/>
                <w:lang w:eastAsia="zh-CN"/>
              </w:rPr>
              <w:t>剂</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【规格】：</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R规格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XXg</w:t>
            </w:r>
            <w:r>
              <w:rPr>
                <w:rFonts w:eastAsiaTheme="minorEastAsia"/>
                <w:color w:val="000000"/>
                <w:sz w:val="21"/>
                <w:szCs w:val="21"/>
                <w:lang w:eastAsia="zh-CN"/>
              </w:rPr>
              <w:t>/</w:t>
            </w:r>
            <w:r>
              <w:rPr>
                <w:rFonts w:hint="eastAsia" w:eastAsiaTheme="minorEastAsia"/>
                <w:color w:val="000000"/>
                <w:sz w:val="21"/>
                <w:szCs w:val="21"/>
                <w:lang w:eastAsia="zh-CN"/>
              </w:rPr>
              <w:t>片</w:t>
            </w:r>
            <w:r>
              <w:rPr>
                <w:rFonts w:eastAsiaTheme="minorEastAsia"/>
                <w:color w:val="000000"/>
                <w:sz w:val="21"/>
                <w:szCs w:val="21"/>
                <w:lang w:eastAsia="zh-CN"/>
              </w:rPr>
              <w:fldChar w:fldCharType="end"/>
            </w:r>
            <w:r>
              <w:rPr>
                <w:rFonts w:eastAsiaTheme="minorEastAsia"/>
                <w:color w:val="000000"/>
                <w:sz w:val="21"/>
                <w:szCs w:val="21"/>
                <w:lang w:eastAsia="zh-CN"/>
              </w:rPr>
              <w:t xml:space="preserve"> </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【用法用量】：口服，</w:t>
            </w:r>
            <w:r>
              <w:rPr>
                <w:rFonts w:eastAsiaTheme="minorEastAsia"/>
                <w:color w:val="000000"/>
                <w:sz w:val="21"/>
                <w:szCs w:val="21"/>
                <w:lang w:eastAsia="zh-CN"/>
              </w:rPr>
              <w:fldChar w:fldCharType="begin"/>
            </w:r>
            <w:r>
              <w:rPr>
                <w:rFonts w:eastAsiaTheme="minorEastAsia"/>
                <w:color w:val="000000"/>
                <w:sz w:val="21"/>
                <w:szCs w:val="21"/>
                <w:lang w:eastAsia="zh-CN"/>
              </w:rPr>
              <w:instrText xml:space="preserve"> MERGEFIELD R给药剂量 </w:instrText>
            </w:r>
            <w:r>
              <w:rPr>
                <w:rFonts w:eastAsiaTheme="minorEastAsia"/>
                <w:color w:val="000000"/>
                <w:sz w:val="21"/>
                <w:szCs w:val="21"/>
                <w:lang w:eastAsia="zh-CN"/>
              </w:rPr>
              <w:fldChar w:fldCharType="separate"/>
            </w:r>
            <w:r>
              <w:rPr>
                <w:rFonts w:hint="eastAsia" w:eastAsiaTheme="minorEastAsia"/>
                <w:color w:val="000000"/>
                <w:sz w:val="21"/>
                <w:szCs w:val="21"/>
                <w:lang w:eastAsia="zh-CN"/>
              </w:rPr>
              <w:t>XXg</w:t>
            </w:r>
            <w:r>
              <w:rPr>
                <w:rFonts w:eastAsiaTheme="minorEastAsia"/>
                <w:color w:val="000000"/>
                <w:sz w:val="21"/>
                <w:szCs w:val="21"/>
                <w:lang w:eastAsia="zh-CN"/>
              </w:rPr>
              <w:t>（1</w:t>
            </w:r>
            <w:r>
              <w:rPr>
                <w:rFonts w:hint="eastAsia" w:eastAsiaTheme="minorEastAsia"/>
                <w:color w:val="000000"/>
                <w:sz w:val="21"/>
                <w:szCs w:val="21"/>
                <w:lang w:eastAsia="zh-CN"/>
              </w:rPr>
              <w:t>片</w:t>
            </w:r>
            <w:r>
              <w:rPr>
                <w:rFonts w:eastAsiaTheme="minorEastAsia"/>
                <w:color w:val="000000"/>
                <w:sz w:val="21"/>
                <w:szCs w:val="21"/>
                <w:lang w:eastAsia="zh-CN"/>
              </w:rPr>
              <w:t>）</w:t>
            </w:r>
            <w:r>
              <w:rPr>
                <w:rFonts w:eastAsiaTheme="minorEastAsia"/>
                <w:color w:val="000000"/>
                <w:sz w:val="21"/>
                <w:szCs w:val="21"/>
                <w:lang w:eastAsia="zh-CN"/>
              </w:rPr>
              <w:fldChar w:fldCharType="end"/>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【批号】：F79760</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【有效期】：</w:t>
            </w:r>
            <w:r>
              <w:rPr>
                <w:rFonts w:hint="eastAsia" w:eastAsiaTheme="minorEastAsia"/>
                <w:color w:val="000000"/>
                <w:sz w:val="21"/>
                <w:szCs w:val="21"/>
                <w:lang w:eastAsia="zh-CN"/>
              </w:rPr>
              <w:t>2020年0</w:t>
            </w:r>
            <w:r>
              <w:rPr>
                <w:rFonts w:eastAsiaTheme="minorEastAsia"/>
                <w:color w:val="000000"/>
                <w:sz w:val="21"/>
                <w:szCs w:val="21"/>
                <w:lang w:eastAsia="zh-CN"/>
              </w:rPr>
              <w:t>5</w:t>
            </w:r>
            <w:r>
              <w:rPr>
                <w:rFonts w:hint="eastAsia" w:eastAsiaTheme="minorEastAsia"/>
                <w:color w:val="000000"/>
                <w:sz w:val="21"/>
                <w:szCs w:val="21"/>
                <w:lang w:eastAsia="zh-CN"/>
              </w:rPr>
              <w:t>月</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【包装】：100</w:t>
            </w:r>
            <w:r>
              <w:rPr>
                <w:rFonts w:hint="eastAsia" w:eastAsiaTheme="minorEastAsia"/>
                <w:color w:val="000000"/>
                <w:sz w:val="21"/>
                <w:szCs w:val="21"/>
                <w:lang w:eastAsia="zh-CN"/>
              </w:rPr>
              <w:t>片/盒</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【储藏】：</w:t>
            </w:r>
            <w:r>
              <w:rPr>
                <w:rFonts w:hint="eastAsia" w:eastAsiaTheme="minorEastAsia"/>
                <w:color w:val="000000"/>
                <w:sz w:val="21"/>
                <w:szCs w:val="21"/>
                <w:lang w:eastAsia="zh-CN"/>
              </w:rPr>
              <w:t>室温</w:t>
            </w:r>
            <w:r>
              <w:rPr>
                <w:rFonts w:eastAsiaTheme="minorEastAsia"/>
                <w:color w:val="000000"/>
                <w:sz w:val="21"/>
                <w:szCs w:val="21"/>
                <w:lang w:eastAsia="zh-CN"/>
              </w:rPr>
              <w:t>，密闭容器</w:t>
            </w:r>
            <w:r>
              <w:rPr>
                <w:rFonts w:hint="eastAsia" w:eastAsiaTheme="minorEastAsia"/>
                <w:color w:val="000000"/>
                <w:sz w:val="21"/>
                <w:szCs w:val="21"/>
                <w:lang w:eastAsia="zh-CN"/>
              </w:rPr>
              <w:t>（10～30℃）</w:t>
            </w:r>
            <w:r>
              <w:rPr>
                <w:rFonts w:eastAsiaTheme="minorEastAsia"/>
                <w:color w:val="000000"/>
                <w:sz w:val="21"/>
                <w:szCs w:val="21"/>
                <w:lang w:eastAsia="zh-CN"/>
              </w:rPr>
              <w:t>。</w:t>
            </w:r>
          </w:p>
          <w:p>
            <w:pPr>
              <w:widowControl w:val="0"/>
              <w:autoSpaceDE w:val="0"/>
              <w:autoSpaceDN w:val="0"/>
              <w:adjustRightInd w:val="0"/>
              <w:spacing w:line="240" w:lineRule="auto"/>
              <w:contextualSpacing/>
              <w:rPr>
                <w:rFonts w:eastAsiaTheme="minorEastAsia"/>
                <w:color w:val="000000"/>
                <w:sz w:val="21"/>
                <w:szCs w:val="21"/>
                <w:lang w:eastAsia="zh-CN"/>
              </w:rPr>
            </w:pPr>
            <w:r>
              <w:rPr>
                <w:rFonts w:eastAsiaTheme="minorEastAsia"/>
                <w:color w:val="000000"/>
                <w:sz w:val="21"/>
                <w:szCs w:val="21"/>
                <w:lang w:eastAsia="zh-CN"/>
              </w:rPr>
              <w:t>【生产厂家】：</w:t>
            </w:r>
            <w:r>
              <w:rPr>
                <w:rFonts w:hint="eastAsia"/>
                <w:color w:val="000000"/>
                <w:sz w:val="21"/>
                <w:szCs w:val="21"/>
                <w:lang w:eastAsia="zh-CN" w:bidi="ar"/>
              </w:rPr>
              <w:t>XXXXXX</w:t>
            </w:r>
          </w:p>
        </w:tc>
      </w:tr>
      <w:bookmarkEnd w:id="190"/>
    </w:tbl>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color w:val="000000"/>
          <w:sz w:val="24"/>
          <w:szCs w:val="24"/>
          <w:lang w:val="zh-TW" w:eastAsia="zh-TW"/>
        </w:rPr>
      </w:pPr>
      <w:bookmarkStart w:id="195" w:name="_Toc12429"/>
      <w:r>
        <w:rPr>
          <w:rFonts w:ascii="Times New Roman" w:hAnsi="Times New Roman" w:eastAsiaTheme="minorEastAsia"/>
          <w:color w:val="000000"/>
          <w:sz w:val="24"/>
          <w:szCs w:val="24"/>
          <w:lang w:val="zh-TW" w:eastAsia="zh-TW"/>
        </w:rPr>
        <w:t>试验药物的接收、发放和保管</w:t>
      </w:r>
      <w:bookmarkEnd w:id="191"/>
      <w:bookmarkEnd w:id="192"/>
      <w:bookmarkEnd w:id="193"/>
      <w:bookmarkEnd w:id="194"/>
      <w:bookmarkEnd w:id="195"/>
    </w:p>
    <w:p>
      <w:pPr>
        <w:pStyle w:val="3"/>
        <w:autoSpaceDE w:val="0"/>
        <w:autoSpaceDN w:val="0"/>
        <w:adjustRightInd w:val="0"/>
        <w:ind w:left="0" w:firstLine="480" w:firstLineChars="200"/>
        <w:contextualSpacing/>
        <w:rPr>
          <w:rFonts w:ascii="Times New Roman" w:hAnsi="Times New Roman" w:eastAsia="宋体" w:cs="Times New Roman"/>
          <w:sz w:val="24"/>
          <w:szCs w:val="24"/>
          <w:lang w:val="zh-TW"/>
        </w:rPr>
      </w:pPr>
      <w:r>
        <w:rPr>
          <w:rFonts w:ascii="Times New Roman" w:hAnsi="Times New Roman" w:eastAsia="宋体" w:cs="Times New Roman"/>
          <w:sz w:val="24"/>
          <w:szCs w:val="24"/>
          <w:lang w:val="zh-TW"/>
        </w:rPr>
        <w:t>受试制剂应是申办方随机抽自符合GMP标准的生产线中生产的样品，检验合格。由申办方提供给临床研究机构合格足量的试验用药品（受试制剂和参比制剂）标明其批号，提供药品检验报告书，数量应满足试验中所需及</w:t>
      </w:r>
      <w:r>
        <w:rPr>
          <w:rFonts w:hint="eastAsia" w:ascii="Times New Roman" w:hAnsi="Times New Roman" w:eastAsia="宋体" w:cs="Times New Roman"/>
          <w:sz w:val="24"/>
          <w:szCs w:val="24"/>
        </w:rPr>
        <w:t>国家药品监督管理局</w:t>
      </w:r>
      <w:r>
        <w:rPr>
          <w:rFonts w:ascii="Times New Roman" w:hAnsi="Times New Roman" w:eastAsia="宋体" w:cs="Times New Roman"/>
          <w:sz w:val="24"/>
          <w:szCs w:val="24"/>
          <w:lang w:val="zh-TW"/>
        </w:rPr>
        <w:t xml:space="preserve"> 2012年颁布的《生物利用度和生物等效性试验用药品的处理和保存要求技术指导原则》的药品留存数量的要求。申办方将试验用药品提供至临床研究机构之前，不得从试验用药品中分出留存样品，并确保留存样品是申办方提供给临床研究机构用于临床试验的同批产品</w:t>
      </w:r>
      <w:r>
        <w:rPr>
          <w:rFonts w:hint="eastAsia" w:ascii="Times New Roman" w:hAnsi="Times New Roman" w:eastAsia="宋体" w:cs="Times New Roman"/>
          <w:sz w:val="24"/>
          <w:szCs w:val="24"/>
          <w:lang w:val="zh-TW"/>
        </w:rPr>
        <w:t xml:space="preserve"> ，留样数量按整盒留样，不低于300个单位。</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rPr>
        <w:t>试验药物由申办方统一编号，临床研究机构收到药物后，</w:t>
      </w:r>
      <w:r>
        <w:rPr>
          <w:rFonts w:hint="eastAsia" w:ascii="Times New Roman" w:hAnsi="Times New Roman" w:eastAsia="宋体" w:cs="Times New Roman"/>
          <w:color w:val="auto"/>
          <w:sz w:val="24"/>
          <w:szCs w:val="24"/>
          <w:lang w:val="zh-TW"/>
        </w:rPr>
        <w:t>药物管理员根据统计单位提供的随机抽样表从已编好号的试验药中随机抽取出受试制剂和参比制剂用于试验或留样。用于试验和留样的药品产品批号应当相同</w:t>
      </w:r>
      <w:r>
        <w:rPr>
          <w:rFonts w:ascii="Times New Roman" w:hAnsi="Times New Roman" w:eastAsia="宋体" w:cs="Times New Roman"/>
          <w:color w:val="auto"/>
          <w:sz w:val="24"/>
          <w:szCs w:val="24"/>
          <w:lang w:val="zh-TW" w:eastAsia="zh-TW"/>
        </w:rPr>
        <w:t>。</w:t>
      </w:r>
      <w:r>
        <w:rPr>
          <w:rFonts w:hint="eastAsia" w:ascii="Times New Roman" w:hAnsi="Times New Roman" w:eastAsia="宋体" w:cs="Times New Roman"/>
          <w:color w:val="auto"/>
          <w:sz w:val="24"/>
          <w:szCs w:val="24"/>
          <w:lang w:val="zh-TW"/>
        </w:rPr>
        <w:t>用于受试者的试验用药品总量一般应大于所需量的120%；留存样品数量应满足进行五次按质量标准全检的要求</w:t>
      </w:r>
      <w:r>
        <w:rPr>
          <w:rFonts w:hint="eastAsia" w:ascii="Times New Roman" w:hAnsi="Times New Roman" w:eastAsia="宋体" w:cs="Times New Roman"/>
          <w:color w:val="auto"/>
          <w:sz w:val="24"/>
          <w:szCs w:val="24"/>
        </w:rPr>
        <w:t>或者不低于300个制剂单位</w:t>
      </w:r>
      <w:r>
        <w:rPr>
          <w:rFonts w:hint="eastAsia" w:ascii="Times New Roman" w:hAnsi="Times New Roman" w:eastAsia="宋体" w:cs="Times New Roman"/>
          <w:color w:val="auto"/>
          <w:sz w:val="24"/>
          <w:szCs w:val="24"/>
          <w:lang w:val="zh-TW"/>
        </w:rPr>
        <w:t>。除非另外说明理由，用于受试制剂批号的测得含量不应与使用的参比制剂相差5%以上</w:t>
      </w:r>
      <w:r>
        <w:rPr>
          <w:rFonts w:ascii="Times New Roman" w:hAnsi="Times New Roman" w:eastAsia="宋体" w:cs="Times New Roman"/>
          <w:color w:val="auto"/>
          <w:sz w:val="24"/>
          <w:szCs w:val="24"/>
          <w:lang w:val="zh-TW"/>
        </w:rPr>
        <w:t>。</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bookmarkStart w:id="196" w:name="_Hlk505165431"/>
      <w:r>
        <w:rPr>
          <w:rFonts w:hint="eastAsia" w:ascii="Times New Roman" w:hAnsi="Times New Roman" w:eastAsia="宋体" w:cs="Times New Roman"/>
          <w:color w:val="auto"/>
          <w:sz w:val="24"/>
          <w:szCs w:val="24"/>
          <w:lang w:val="zh-TW"/>
        </w:rPr>
        <w:t>试验药物的转移及传递将由申办单位负责，运输及传递过程应选择有资质的专业公司承担，以专用“药用转运箱”方式进行运输，并对试验药物运输过程进行全程温控与记录。申办方应同时提供临床试验药物运送单（一式两份），运送单上应包括以下信息：药物名称、规格、数量、批号、生产日期、有效期、生产厂家、保存条件等信息。药物临床试验机构在收到临床药物后，应及时核实相关信息，在确认符合相应要求后，方可签收试验药物，并填写相应物资交接记录表</w:t>
      </w:r>
      <w:r>
        <w:rPr>
          <w:rFonts w:ascii="Times New Roman" w:hAnsi="Times New Roman" w:eastAsia="宋体" w:cs="Times New Roman"/>
          <w:color w:val="auto"/>
          <w:sz w:val="24"/>
          <w:szCs w:val="24"/>
          <w:lang w:val="zh-TW"/>
        </w:rPr>
        <w:t>。</w:t>
      </w:r>
      <w:bookmarkEnd w:id="196"/>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hint="eastAsia" w:ascii="Times New Roman" w:hAnsi="Times New Roman" w:eastAsia="宋体" w:cs="Times New Roman"/>
          <w:color w:val="auto"/>
          <w:sz w:val="24"/>
          <w:szCs w:val="24"/>
          <w:lang w:val="zh-TW"/>
        </w:rPr>
        <w:t>临床研究机构接收试验用药品时须签署药品接收单，当场核实验收，双人签字，一式两份，临床研究单位和申办单位各执一份。试验用药品应按照受试制剂和参比制剂储存条件要求进行保存，药品管理遵循GCP要求，研究机构需设专人、专柜、上锁保管。药物管理人员按受试者试验编码发放试验药物。每一份试验用药品的使用、给药后包装回收、剩余药品或未使用药品的回收等均应在专门记录单上及时记录、签名</w:t>
      </w:r>
      <w:r>
        <w:rPr>
          <w:rFonts w:ascii="Times New Roman" w:hAnsi="Times New Roman" w:eastAsia="宋体" w:cs="Times New Roman"/>
          <w:color w:val="auto"/>
          <w:sz w:val="24"/>
          <w:szCs w:val="24"/>
          <w:lang w:val="zh-TW"/>
        </w:rPr>
        <w:t>。</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rPr>
        <w:t>每个周期试验当天，由药物管理员</w:t>
      </w:r>
      <w:r>
        <w:rPr>
          <w:rFonts w:hint="eastAsia" w:ascii="Times New Roman" w:hAnsi="Times New Roman" w:eastAsia="宋体" w:cs="Times New Roman"/>
          <w:color w:val="auto"/>
          <w:sz w:val="24"/>
          <w:szCs w:val="24"/>
        </w:rPr>
        <w:t>或</w:t>
      </w:r>
      <w:r>
        <w:rPr>
          <w:rFonts w:ascii="Times New Roman" w:hAnsi="Times New Roman" w:eastAsia="宋体" w:cs="Times New Roman"/>
          <w:color w:val="auto"/>
          <w:sz w:val="24"/>
          <w:szCs w:val="24"/>
          <w:lang w:val="zh-TW"/>
        </w:rPr>
        <w:t>研究护士将药物分发给受试者，并监督受试者服用。每周期每例受试者根据分配的给药顺序使用受试制剂或参比制剂，使用后的剩余药物由研究人员归还药物管理人员入库回收。</w:t>
      </w:r>
      <w:r>
        <w:rPr>
          <w:rFonts w:ascii="Times New Roman" w:hAnsi="Times New Roman" w:eastAsia="宋体" w:cs="Times New Roman"/>
          <w:color w:val="auto"/>
          <w:sz w:val="24"/>
          <w:szCs w:val="24"/>
          <w:lang w:val="zh-TW" w:eastAsia="zh-TW"/>
        </w:rPr>
        <w:t>每一份试验用药品的使用、给药后包装回收、剩余药品或未使用药品的回收等均应在专门记录单上及时记录，双人审核签名。</w:t>
      </w:r>
      <w:r>
        <w:rPr>
          <w:rFonts w:ascii="Times New Roman" w:hAnsi="Times New Roman" w:eastAsia="宋体" w:cs="Times New Roman"/>
          <w:color w:val="auto"/>
          <w:sz w:val="24"/>
          <w:szCs w:val="24"/>
          <w:lang w:val="zh-TW"/>
        </w:rPr>
        <w:t>空腹</w:t>
      </w:r>
      <w:r>
        <w:rPr>
          <w:rFonts w:hint="eastAsia" w:ascii="Times New Roman" w:hAnsi="Times New Roman" w:eastAsia="宋体" w:cs="Times New Roman"/>
          <w:color w:val="auto"/>
          <w:sz w:val="24"/>
          <w:szCs w:val="24"/>
          <w:lang w:val="zh-TW"/>
        </w:rPr>
        <w:t>试验</w:t>
      </w:r>
      <w:r>
        <w:rPr>
          <w:rFonts w:ascii="Times New Roman" w:hAnsi="Times New Roman" w:eastAsia="宋体" w:cs="Times New Roman"/>
          <w:color w:val="auto"/>
          <w:sz w:val="24"/>
          <w:szCs w:val="24"/>
          <w:lang w:val="zh-TW"/>
        </w:rPr>
        <w:t>和餐后</w:t>
      </w:r>
      <w:r>
        <w:rPr>
          <w:rFonts w:hint="eastAsia" w:ascii="Times New Roman" w:hAnsi="Times New Roman" w:eastAsia="宋体" w:cs="Times New Roman"/>
          <w:color w:val="auto"/>
          <w:sz w:val="24"/>
          <w:szCs w:val="24"/>
          <w:lang w:val="zh-TW"/>
        </w:rPr>
        <w:t>试验</w:t>
      </w:r>
      <w:r>
        <w:rPr>
          <w:rFonts w:ascii="Times New Roman" w:hAnsi="Times New Roman" w:eastAsia="宋体" w:cs="Times New Roman"/>
          <w:color w:val="auto"/>
          <w:sz w:val="24"/>
          <w:szCs w:val="24"/>
          <w:lang w:val="zh-TW"/>
        </w:rPr>
        <w:t>均为同一批药品，统一留样及使用</w:t>
      </w:r>
      <w:r>
        <w:rPr>
          <w:rFonts w:hint="eastAsia" w:ascii="Times New Roman" w:hAnsi="Times New Roman" w:eastAsia="宋体" w:cs="Times New Roman"/>
          <w:color w:val="auto"/>
          <w:sz w:val="24"/>
          <w:szCs w:val="24"/>
          <w:lang w:val="zh-TW"/>
        </w:rPr>
        <w:t>。</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hint="eastAsia" w:ascii="Times New Roman" w:hAnsi="Times New Roman" w:eastAsia="宋体" w:cs="Times New Roman"/>
          <w:color w:val="auto"/>
          <w:sz w:val="24"/>
          <w:szCs w:val="24"/>
          <w:lang w:val="zh-TW"/>
        </w:rPr>
        <w:t>研究机构妥善保管好所有试验用药品和留样药品，不得把试验用药品和留样药品转交任何非临床试验参加者及第三方。试验结束后，研究机构应将所有已用、未用、用尽和部分使用了的药品随着分发记录表一起交给申办单位做最终处理（留样除外）。研究机构应负责按照药品保存条件要求保存留样药品，按照储存条件要求继续保存至药品通过一致性评价后至少2年。具体药物发放计划参见表3。</w:t>
      </w:r>
    </w:p>
    <w:p>
      <w:pPr>
        <w:pStyle w:val="50"/>
        <w:autoSpaceDE w:val="0"/>
        <w:autoSpaceDN w:val="0"/>
        <w:adjustRightInd w:val="0"/>
        <w:ind w:left="0" w:firstLine="0"/>
        <w:contextualSpacing/>
        <w:jc w:val="center"/>
        <w:rPr>
          <w:rFonts w:eastAsiaTheme="minorEastAsia"/>
          <w:color w:val="auto"/>
        </w:rPr>
      </w:pPr>
      <w:r>
        <w:rPr>
          <w:rFonts w:eastAsiaTheme="minorEastAsia"/>
          <w:b/>
          <w:bCs/>
          <w:color w:val="auto"/>
          <w:lang w:val="zh-TW" w:eastAsia="zh-TW"/>
        </w:rPr>
        <w:t>表</w:t>
      </w:r>
      <w:r>
        <w:rPr>
          <w:rFonts w:hint="eastAsia" w:eastAsiaTheme="minorEastAsia"/>
          <w:b/>
          <w:bCs/>
          <w:color w:val="auto"/>
        </w:rPr>
        <w:t>3</w:t>
      </w:r>
      <w:r>
        <w:rPr>
          <w:rFonts w:eastAsiaTheme="minorEastAsia"/>
          <w:b/>
          <w:bCs/>
          <w:color w:val="auto"/>
        </w:rPr>
        <w:t xml:space="preserve">  </w:t>
      </w:r>
      <w:r>
        <w:rPr>
          <w:rFonts w:eastAsiaTheme="minorEastAsia"/>
          <w:b/>
          <w:bCs/>
          <w:color w:val="auto"/>
          <w:lang w:val="zh-TW" w:eastAsia="zh-TW"/>
        </w:rPr>
        <w:t>受试制剂及参比制剂发放计划</w:t>
      </w:r>
    </w:p>
    <w:tbl>
      <w:tblPr>
        <w:tblStyle w:val="27"/>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377"/>
        <w:gridCol w:w="1571"/>
        <w:gridCol w:w="6"/>
        <w:gridCol w:w="1577"/>
        <w:gridCol w:w="1568"/>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65" w:type="dxa"/>
            <w:vMerge w:val="restart"/>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p>
        </w:tc>
        <w:tc>
          <w:tcPr>
            <w:tcW w:w="2377" w:type="dxa"/>
            <w:vMerge w:val="restart"/>
            <w:vAlign w:val="center"/>
          </w:tcPr>
          <w:p>
            <w:pPr>
              <w:widowControl w:val="0"/>
              <w:autoSpaceDE w:val="0"/>
              <w:autoSpaceDN w:val="0"/>
              <w:adjustRightInd w:val="0"/>
              <w:spacing w:line="276" w:lineRule="auto"/>
              <w:ind w:left="0" w:firstLine="0"/>
              <w:contextualSpacing/>
              <w:jc w:val="center"/>
              <w:rPr>
                <w:b/>
                <w:kern w:val="2"/>
                <w:sz w:val="22"/>
                <w:szCs w:val="21"/>
                <w:u w:color="000000"/>
                <w:lang w:val="zh-TW" w:eastAsia="zh-CN"/>
              </w:rPr>
            </w:pPr>
            <w:r>
              <w:rPr>
                <w:b/>
                <w:kern w:val="2"/>
                <w:sz w:val="22"/>
                <w:szCs w:val="21"/>
                <w:u w:color="000000"/>
                <w:lang w:val="zh-TW" w:eastAsia="zh-TW"/>
              </w:rPr>
              <w:t>剂型；规格；</w:t>
            </w:r>
          </w:p>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r>
              <w:rPr>
                <w:b/>
                <w:kern w:val="2"/>
                <w:sz w:val="22"/>
                <w:szCs w:val="21"/>
                <w:u w:color="000000"/>
                <w:lang w:val="zh-TW" w:eastAsia="zh-TW"/>
              </w:rPr>
              <w:t>商品名</w:t>
            </w:r>
          </w:p>
        </w:tc>
        <w:tc>
          <w:tcPr>
            <w:tcW w:w="1571" w:type="dxa"/>
            <w:vAlign w:val="center"/>
          </w:tcPr>
          <w:p>
            <w:pPr>
              <w:widowControl w:val="0"/>
              <w:autoSpaceDE w:val="0"/>
              <w:autoSpaceDN w:val="0"/>
              <w:adjustRightInd w:val="0"/>
              <w:spacing w:line="240" w:lineRule="auto"/>
              <w:ind w:left="0" w:firstLine="0"/>
              <w:contextualSpacing/>
              <w:jc w:val="center"/>
              <w:rPr>
                <w:b/>
                <w:kern w:val="2"/>
                <w:sz w:val="22"/>
                <w:szCs w:val="21"/>
                <w:u w:color="000000"/>
                <w:lang w:eastAsia="zh-CN"/>
              </w:rPr>
            </w:pPr>
            <w:r>
              <w:rPr>
                <w:rFonts w:hint="eastAsia"/>
                <w:b/>
                <w:kern w:val="2"/>
                <w:sz w:val="22"/>
                <w:szCs w:val="21"/>
                <w:u w:color="000000"/>
                <w:lang w:eastAsia="zh-CN"/>
              </w:rPr>
              <w:t>接受数量</w:t>
            </w:r>
          </w:p>
        </w:tc>
        <w:tc>
          <w:tcPr>
            <w:tcW w:w="3151" w:type="dxa"/>
            <w:gridSpan w:val="3"/>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r>
              <w:rPr>
                <w:rFonts w:hint="eastAsia" w:eastAsiaTheme="minorEastAsia"/>
                <w:b/>
                <w:kern w:val="2"/>
                <w:sz w:val="21"/>
                <w:szCs w:val="21"/>
                <w:u w:color="000000"/>
                <w:lang w:eastAsia="zh-CN"/>
              </w:rPr>
              <w:t>发放数量</w:t>
            </w:r>
          </w:p>
        </w:tc>
        <w:tc>
          <w:tcPr>
            <w:tcW w:w="1571" w:type="dxa"/>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r>
              <w:rPr>
                <w:rFonts w:hint="eastAsia" w:eastAsiaTheme="minorEastAsia"/>
                <w:b/>
                <w:kern w:val="2"/>
                <w:sz w:val="21"/>
                <w:szCs w:val="21"/>
                <w:u w:color="000000"/>
                <w:lang w:eastAsia="zh-CN"/>
              </w:rPr>
              <w:t>留存数量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65" w:type="dxa"/>
            <w:vMerge w:val="continue"/>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p>
        </w:tc>
        <w:tc>
          <w:tcPr>
            <w:tcW w:w="2377" w:type="dxa"/>
            <w:vMerge w:val="continue"/>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p>
        </w:tc>
        <w:tc>
          <w:tcPr>
            <w:tcW w:w="1577" w:type="dxa"/>
            <w:gridSpan w:val="2"/>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p>
        </w:tc>
        <w:tc>
          <w:tcPr>
            <w:tcW w:w="1577" w:type="dxa"/>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CN"/>
              </w:rPr>
            </w:pPr>
            <w:r>
              <w:rPr>
                <w:rFonts w:eastAsiaTheme="minorEastAsia"/>
                <w:b/>
                <w:kern w:val="2"/>
                <w:sz w:val="21"/>
                <w:szCs w:val="21"/>
                <w:u w:color="000000"/>
                <w:lang w:val="zh-TW" w:eastAsia="zh-TW"/>
              </w:rPr>
              <w:t>第一周期</w:t>
            </w:r>
          </w:p>
        </w:tc>
        <w:tc>
          <w:tcPr>
            <w:tcW w:w="1568" w:type="dxa"/>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eastAsia="zh-TW"/>
              </w:rPr>
            </w:pPr>
            <w:r>
              <w:rPr>
                <w:rFonts w:eastAsiaTheme="minorEastAsia"/>
                <w:b/>
                <w:kern w:val="2"/>
                <w:sz w:val="21"/>
                <w:szCs w:val="21"/>
                <w:u w:color="000000"/>
                <w:lang w:val="zh-TW" w:eastAsia="zh-TW"/>
              </w:rPr>
              <w:t>第二周期</w:t>
            </w:r>
          </w:p>
        </w:tc>
        <w:tc>
          <w:tcPr>
            <w:tcW w:w="1571" w:type="dxa"/>
            <w:vAlign w:val="center"/>
          </w:tcPr>
          <w:p>
            <w:pPr>
              <w:widowControl w:val="0"/>
              <w:autoSpaceDE w:val="0"/>
              <w:autoSpaceDN w:val="0"/>
              <w:adjustRightInd w:val="0"/>
              <w:spacing w:line="240" w:lineRule="auto"/>
              <w:ind w:left="0" w:firstLine="0"/>
              <w:contextualSpacing/>
              <w:jc w:val="center"/>
              <w:rPr>
                <w:rFonts w:eastAsiaTheme="minorEastAsia"/>
                <w:b/>
                <w:kern w:val="2"/>
                <w:sz w:val="21"/>
                <w:szCs w:val="21"/>
                <w:u w:color="000000"/>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2" w:hRule="atLeast"/>
        </w:trPr>
        <w:tc>
          <w:tcPr>
            <w:tcW w:w="565" w:type="dxa"/>
            <w:vAlign w:val="center"/>
          </w:tcPr>
          <w:p>
            <w:pPr>
              <w:widowControl w:val="0"/>
              <w:autoSpaceDE w:val="0"/>
              <w:autoSpaceDN w:val="0"/>
              <w:adjustRightInd w:val="0"/>
              <w:ind w:left="0" w:firstLine="0"/>
              <w:contextualSpacing/>
              <w:jc w:val="center"/>
              <w:rPr>
                <w:rFonts w:eastAsiaTheme="minorEastAsia"/>
                <w:kern w:val="2"/>
                <w:sz w:val="21"/>
                <w:szCs w:val="21"/>
                <w:u w:color="000000"/>
                <w:lang w:eastAsia="zh-CN"/>
              </w:rPr>
            </w:pPr>
            <w:r>
              <w:rPr>
                <w:rFonts w:eastAsiaTheme="minorEastAsia"/>
                <w:kern w:val="2"/>
                <w:sz w:val="21"/>
                <w:szCs w:val="21"/>
                <w:u w:color="000000"/>
                <w:lang w:val="zh-TW" w:eastAsia="zh-TW"/>
              </w:rPr>
              <w:t>受试制剂</w:t>
            </w:r>
          </w:p>
        </w:tc>
        <w:tc>
          <w:tcPr>
            <w:tcW w:w="2377" w:type="dxa"/>
            <w:vAlign w:val="center"/>
          </w:tcPr>
          <w:p>
            <w:pPr>
              <w:widowControl w:val="0"/>
              <w:autoSpaceDE w:val="0"/>
              <w:autoSpaceDN w:val="0"/>
              <w:adjustRightInd w:val="0"/>
              <w:ind w:left="0" w:firstLine="0"/>
              <w:contextualSpacing/>
              <w:jc w:val="left"/>
              <w:rPr>
                <w:rFonts w:eastAsiaTheme="minorEastAsia"/>
                <w:kern w:val="2"/>
                <w:sz w:val="21"/>
                <w:szCs w:val="21"/>
                <w:u w:color="000000"/>
                <w:lang w:val="zh-TW" w:eastAsia="zh-CN"/>
              </w:rPr>
            </w:pPr>
            <w:r>
              <w:rPr>
                <w:rFonts w:hint="eastAsia" w:eastAsiaTheme="minorEastAsia"/>
                <w:kern w:val="2"/>
                <w:sz w:val="21"/>
                <w:szCs w:val="21"/>
                <w:u w:color="000000"/>
                <w:lang w:val="zh-TW" w:eastAsia="zh-CN"/>
              </w:rPr>
              <w:t>XXXXXX</w:t>
            </w:r>
          </w:p>
          <w:p>
            <w:pPr>
              <w:widowControl w:val="0"/>
              <w:autoSpaceDE w:val="0"/>
              <w:autoSpaceDN w:val="0"/>
              <w:adjustRightInd w:val="0"/>
              <w:ind w:left="0" w:firstLine="0"/>
              <w:contextualSpacing/>
              <w:jc w:val="left"/>
              <w:rPr>
                <w:rFonts w:eastAsiaTheme="minorEastAsia"/>
                <w:kern w:val="2"/>
                <w:sz w:val="21"/>
                <w:szCs w:val="21"/>
                <w:u w:color="000000"/>
                <w:lang w:eastAsia="zh-CN"/>
              </w:rPr>
            </w:pPr>
            <w:r>
              <w:rPr>
                <w:rFonts w:eastAsiaTheme="minorEastAsia"/>
                <w:kern w:val="2"/>
                <w:sz w:val="21"/>
                <w:szCs w:val="21"/>
                <w:u w:color="000000"/>
                <w:lang w:val="zh-TW" w:eastAsia="zh-CN"/>
              </w:rPr>
              <w:t>剂型：</w:t>
            </w:r>
            <w:r>
              <w:rPr>
                <w:rFonts w:hint="eastAsia" w:eastAsiaTheme="minorEastAsia"/>
                <w:kern w:val="2"/>
                <w:sz w:val="21"/>
                <w:szCs w:val="21"/>
                <w:u w:color="000000"/>
                <w:lang w:eastAsia="zh-CN"/>
              </w:rPr>
              <w:t>片剂</w:t>
            </w:r>
          </w:p>
          <w:p>
            <w:pPr>
              <w:widowControl w:val="0"/>
              <w:autoSpaceDE w:val="0"/>
              <w:autoSpaceDN w:val="0"/>
              <w:adjustRightInd w:val="0"/>
              <w:ind w:left="0" w:right="-108" w:rightChars="-45" w:firstLine="0"/>
              <w:contextualSpacing/>
              <w:jc w:val="left"/>
              <w:rPr>
                <w:rFonts w:eastAsiaTheme="minorEastAsia"/>
                <w:kern w:val="2"/>
                <w:sz w:val="21"/>
                <w:szCs w:val="21"/>
                <w:u w:color="000000"/>
                <w:lang w:eastAsia="zh-CN"/>
              </w:rPr>
            </w:pPr>
            <w:r>
              <w:rPr>
                <w:rFonts w:eastAsiaTheme="minorEastAsia"/>
                <w:kern w:val="2"/>
                <w:sz w:val="21"/>
                <w:szCs w:val="21"/>
                <w:u w:color="000000"/>
                <w:lang w:val="zh-TW" w:eastAsia="zh-TW"/>
              </w:rPr>
              <w:t>规格：</w:t>
            </w:r>
            <w:r>
              <w:rPr>
                <w:rFonts w:hint="eastAsia" w:eastAsiaTheme="minorEastAsia"/>
                <w:kern w:val="2"/>
                <w:sz w:val="21"/>
                <w:szCs w:val="21"/>
                <w:u w:color="000000"/>
                <w:lang w:val="zh-TW" w:eastAsia="zh-CN"/>
              </w:rPr>
              <w:t>XXg</w:t>
            </w:r>
          </w:p>
        </w:tc>
        <w:tc>
          <w:tcPr>
            <w:tcW w:w="1577" w:type="dxa"/>
            <w:gridSpan w:val="2"/>
            <w:vAlign w:val="center"/>
          </w:tcPr>
          <w:p>
            <w:pPr>
              <w:widowControl w:val="0"/>
              <w:autoSpaceDE w:val="0"/>
              <w:autoSpaceDN w:val="0"/>
              <w:adjustRightInd w:val="0"/>
              <w:ind w:left="0" w:right="-108" w:rightChars="-45" w:firstLine="0"/>
              <w:contextualSpacing/>
              <w:jc w:val="left"/>
              <w:rPr>
                <w:rFonts w:eastAsiaTheme="minorEastAsia"/>
                <w:kern w:val="2"/>
                <w:sz w:val="21"/>
                <w:szCs w:val="21"/>
                <w:u w:color="000000"/>
                <w:lang w:eastAsia="zh-CN"/>
              </w:rPr>
            </w:pPr>
            <w:r>
              <w:rPr>
                <w:rFonts w:hint="eastAsia" w:eastAsiaTheme="minorEastAsia"/>
                <w:kern w:val="2"/>
                <w:sz w:val="21"/>
                <w:szCs w:val="21"/>
                <w:u w:color="000000"/>
                <w:lang w:eastAsia="zh-CN"/>
              </w:rPr>
              <w:t xml:space="preserve">   400片（4瓶，100片/瓶）</w:t>
            </w:r>
          </w:p>
        </w:tc>
        <w:tc>
          <w:tcPr>
            <w:tcW w:w="1577"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val="en-US" w:eastAsia="zh-CN"/>
              </w:rPr>
            </w:pPr>
            <w:r>
              <w:rPr>
                <w:rFonts w:hint="eastAsia" w:eastAsiaTheme="minorEastAsia"/>
                <w:color w:val="auto"/>
                <w:kern w:val="2"/>
                <w:sz w:val="21"/>
                <w:szCs w:val="21"/>
                <w:u w:color="000000"/>
                <w:lang w:val="en-US" w:eastAsia="zh-CN"/>
              </w:rPr>
              <w:t>36片</w:t>
            </w:r>
          </w:p>
          <w:p>
            <w:pPr>
              <w:widowControl w:val="0"/>
              <w:autoSpaceDE w:val="0"/>
              <w:autoSpaceDN w:val="0"/>
              <w:adjustRightInd w:val="0"/>
              <w:ind w:left="-122" w:leftChars="-104" w:right="-250" w:rightChars="-104" w:hanging="128" w:hangingChars="61"/>
              <w:contextualSpacing/>
              <w:jc w:val="center"/>
              <w:rPr>
                <w:color w:val="auto"/>
                <w:kern w:val="2"/>
                <w:sz w:val="21"/>
                <w:szCs w:val="21"/>
                <w:u w:color="000000"/>
                <w:lang w:eastAsia="zh-CN"/>
              </w:rPr>
            </w:pPr>
            <w:r>
              <w:rPr>
                <w:rStyle w:val="34"/>
                <w:rFonts w:hint="eastAsia"/>
                <w:color w:val="auto"/>
                <w:lang w:eastAsia="zh-CN"/>
              </w:rPr>
              <w:t>（</w:t>
            </w:r>
            <w:r>
              <w:rPr>
                <w:rStyle w:val="34"/>
                <w:rFonts w:hint="eastAsia"/>
                <w:color w:val="auto"/>
                <w:lang w:val="en-US" w:eastAsia="zh-CN"/>
              </w:rPr>
              <w:t>不</w:t>
            </w:r>
            <w:r>
              <w:rPr>
                <w:rStyle w:val="34"/>
                <w:rFonts w:hint="eastAsia"/>
                <w:color w:val="auto"/>
                <w:lang w:eastAsia="zh-CN"/>
              </w:rPr>
              <w:t>含备用）</w:t>
            </w:r>
          </w:p>
        </w:tc>
        <w:tc>
          <w:tcPr>
            <w:tcW w:w="1568"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val="en-US" w:eastAsia="zh-CN"/>
              </w:rPr>
            </w:pPr>
            <w:r>
              <w:rPr>
                <w:rFonts w:hint="eastAsia" w:eastAsiaTheme="minorEastAsia"/>
                <w:color w:val="auto"/>
                <w:kern w:val="2"/>
                <w:sz w:val="21"/>
                <w:szCs w:val="21"/>
                <w:u w:color="000000"/>
                <w:lang w:val="en-US" w:eastAsia="zh-CN"/>
              </w:rPr>
              <w:t>36片</w:t>
            </w:r>
          </w:p>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eastAsia="zh-CN"/>
              </w:rPr>
            </w:pPr>
            <w:r>
              <w:rPr>
                <w:rStyle w:val="34"/>
                <w:rFonts w:hint="eastAsia"/>
                <w:color w:val="auto"/>
                <w:lang w:eastAsia="zh-CN"/>
              </w:rPr>
              <w:t>（</w:t>
            </w:r>
            <w:r>
              <w:rPr>
                <w:rStyle w:val="34"/>
                <w:rFonts w:hint="eastAsia"/>
                <w:color w:val="auto"/>
                <w:lang w:val="en-US" w:eastAsia="zh-CN"/>
              </w:rPr>
              <w:t>不</w:t>
            </w:r>
            <w:r>
              <w:rPr>
                <w:rStyle w:val="34"/>
                <w:rFonts w:hint="eastAsia"/>
                <w:color w:val="auto"/>
                <w:lang w:eastAsia="zh-CN"/>
              </w:rPr>
              <w:t>含备用）</w:t>
            </w:r>
          </w:p>
        </w:tc>
        <w:tc>
          <w:tcPr>
            <w:tcW w:w="1571"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kern w:val="2"/>
                <w:sz w:val="21"/>
                <w:szCs w:val="21"/>
                <w:u w:color="000000"/>
                <w:lang w:eastAsia="zh-CN"/>
              </w:rPr>
            </w:pPr>
            <w:r>
              <w:rPr>
                <w:rFonts w:hint="eastAsia" w:eastAsiaTheme="minorEastAsia"/>
                <w:kern w:val="2"/>
                <w:sz w:val="21"/>
                <w:szCs w:val="21"/>
                <w:u w:color="000000"/>
                <w:lang w:eastAsia="zh-CN"/>
              </w:rPr>
              <w:t>300片（3瓶）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9" w:hRule="atLeast"/>
        </w:trPr>
        <w:tc>
          <w:tcPr>
            <w:tcW w:w="565" w:type="dxa"/>
            <w:vAlign w:val="center"/>
          </w:tcPr>
          <w:p>
            <w:pPr>
              <w:widowControl w:val="0"/>
              <w:autoSpaceDE w:val="0"/>
              <w:autoSpaceDN w:val="0"/>
              <w:adjustRightInd w:val="0"/>
              <w:ind w:left="0" w:firstLine="0"/>
              <w:contextualSpacing/>
              <w:jc w:val="center"/>
              <w:rPr>
                <w:rFonts w:eastAsiaTheme="minorEastAsia"/>
                <w:kern w:val="2"/>
                <w:sz w:val="21"/>
                <w:szCs w:val="21"/>
                <w:u w:color="000000"/>
                <w:lang w:eastAsia="zh-CN"/>
              </w:rPr>
            </w:pPr>
            <w:r>
              <w:rPr>
                <w:rFonts w:eastAsiaTheme="minorEastAsia"/>
                <w:kern w:val="2"/>
                <w:sz w:val="21"/>
                <w:szCs w:val="21"/>
                <w:u w:color="000000"/>
                <w:lang w:val="zh-TW" w:eastAsia="zh-TW"/>
              </w:rPr>
              <w:t>参比制剂</w:t>
            </w:r>
          </w:p>
        </w:tc>
        <w:tc>
          <w:tcPr>
            <w:tcW w:w="2377" w:type="dxa"/>
            <w:vAlign w:val="center"/>
          </w:tcPr>
          <w:p>
            <w:pPr>
              <w:widowControl w:val="0"/>
              <w:autoSpaceDE w:val="0"/>
              <w:autoSpaceDN w:val="0"/>
              <w:adjustRightInd w:val="0"/>
              <w:ind w:left="0" w:firstLine="0"/>
              <w:contextualSpacing/>
              <w:jc w:val="left"/>
              <w:rPr>
                <w:rFonts w:eastAsiaTheme="minorEastAsia"/>
                <w:kern w:val="2"/>
                <w:sz w:val="21"/>
                <w:szCs w:val="21"/>
                <w:u w:color="000000"/>
                <w:lang w:val="zh-TW" w:eastAsia="zh-CN"/>
              </w:rPr>
            </w:pPr>
            <w:r>
              <w:rPr>
                <w:rFonts w:hint="eastAsia" w:eastAsiaTheme="minorEastAsia"/>
                <w:kern w:val="2"/>
                <w:sz w:val="21"/>
                <w:szCs w:val="21"/>
                <w:u w:color="000000"/>
                <w:lang w:val="zh-TW" w:eastAsia="zh-CN"/>
              </w:rPr>
              <w:t>XXXXXX</w:t>
            </w:r>
          </w:p>
          <w:p>
            <w:pPr>
              <w:widowControl w:val="0"/>
              <w:autoSpaceDE w:val="0"/>
              <w:autoSpaceDN w:val="0"/>
              <w:adjustRightInd w:val="0"/>
              <w:ind w:left="0" w:firstLine="0"/>
              <w:contextualSpacing/>
              <w:jc w:val="left"/>
              <w:rPr>
                <w:rFonts w:eastAsiaTheme="minorEastAsia"/>
                <w:kern w:val="2"/>
                <w:sz w:val="21"/>
                <w:szCs w:val="21"/>
                <w:u w:color="000000"/>
                <w:lang w:val="zh-TW" w:eastAsia="zh-CN"/>
              </w:rPr>
            </w:pPr>
            <w:r>
              <w:rPr>
                <w:rFonts w:eastAsiaTheme="minorEastAsia"/>
                <w:kern w:val="2"/>
                <w:sz w:val="21"/>
                <w:szCs w:val="21"/>
                <w:u w:color="000000"/>
                <w:lang w:val="zh-TW" w:eastAsia="zh-CN"/>
              </w:rPr>
              <w:t>剂型：</w:t>
            </w:r>
            <w:r>
              <w:rPr>
                <w:rFonts w:hint="eastAsia" w:eastAsiaTheme="minorEastAsia"/>
                <w:kern w:val="2"/>
                <w:sz w:val="21"/>
                <w:szCs w:val="21"/>
                <w:u w:color="000000"/>
                <w:lang w:eastAsia="zh-CN"/>
              </w:rPr>
              <w:t>片剂</w:t>
            </w:r>
          </w:p>
          <w:p>
            <w:pPr>
              <w:widowControl w:val="0"/>
              <w:autoSpaceDE w:val="0"/>
              <w:autoSpaceDN w:val="0"/>
              <w:adjustRightInd w:val="0"/>
              <w:ind w:left="0" w:right="-108" w:rightChars="-45" w:firstLine="0"/>
              <w:contextualSpacing/>
              <w:jc w:val="left"/>
              <w:rPr>
                <w:rFonts w:eastAsiaTheme="minorEastAsia"/>
                <w:kern w:val="2"/>
                <w:sz w:val="21"/>
                <w:szCs w:val="21"/>
                <w:u w:color="000000"/>
                <w:lang w:val="zh-TW" w:eastAsia="zh-TW"/>
              </w:rPr>
            </w:pPr>
            <w:r>
              <w:rPr>
                <w:rFonts w:eastAsiaTheme="minorEastAsia"/>
                <w:kern w:val="2"/>
                <w:sz w:val="21"/>
                <w:szCs w:val="21"/>
                <w:u w:color="000000"/>
                <w:lang w:val="zh-TW" w:eastAsia="zh-CN"/>
              </w:rPr>
              <w:t>规格：</w:t>
            </w:r>
            <w:r>
              <w:rPr>
                <w:rFonts w:hint="eastAsia" w:eastAsiaTheme="minorEastAsia"/>
                <w:kern w:val="2"/>
                <w:sz w:val="21"/>
                <w:szCs w:val="21"/>
                <w:u w:color="000000"/>
                <w:lang w:val="zh-TW" w:eastAsia="zh-CN"/>
              </w:rPr>
              <w:t>XXg</w:t>
            </w:r>
          </w:p>
          <w:p>
            <w:pPr>
              <w:widowControl w:val="0"/>
              <w:autoSpaceDE w:val="0"/>
              <w:autoSpaceDN w:val="0"/>
              <w:adjustRightInd w:val="0"/>
              <w:ind w:left="0" w:right="-108" w:rightChars="-45" w:firstLine="0"/>
              <w:contextualSpacing/>
              <w:jc w:val="left"/>
              <w:rPr>
                <w:rFonts w:eastAsiaTheme="minorEastAsia"/>
                <w:kern w:val="2"/>
                <w:sz w:val="21"/>
                <w:szCs w:val="21"/>
                <w:u w:color="000000"/>
                <w:lang w:val="zh-TW" w:eastAsia="zh-CN"/>
              </w:rPr>
            </w:pPr>
            <w:r>
              <w:rPr>
                <w:rFonts w:eastAsiaTheme="minorEastAsia"/>
                <w:kern w:val="2"/>
                <w:sz w:val="21"/>
                <w:szCs w:val="21"/>
                <w:u w:color="000000"/>
                <w:lang w:val="zh-TW" w:eastAsia="zh-CN"/>
              </w:rPr>
              <w:t>商品名：</w:t>
            </w:r>
            <w:r>
              <w:rPr>
                <w:rFonts w:hint="eastAsia"/>
                <w:color w:val="000000"/>
                <w:sz w:val="21"/>
                <w:szCs w:val="21"/>
                <w:lang w:eastAsia="zh-CN" w:bidi="ar"/>
              </w:rPr>
              <w:t>XXX</w:t>
            </w:r>
          </w:p>
        </w:tc>
        <w:tc>
          <w:tcPr>
            <w:tcW w:w="1577" w:type="dxa"/>
            <w:gridSpan w:val="2"/>
            <w:vAlign w:val="center"/>
          </w:tcPr>
          <w:p>
            <w:pPr>
              <w:widowControl w:val="0"/>
              <w:autoSpaceDE w:val="0"/>
              <w:autoSpaceDN w:val="0"/>
              <w:adjustRightInd w:val="0"/>
              <w:ind w:left="0" w:right="-108" w:rightChars="-45" w:firstLine="0"/>
              <w:contextualSpacing/>
              <w:jc w:val="left"/>
              <w:rPr>
                <w:rFonts w:eastAsiaTheme="minorEastAsia"/>
                <w:kern w:val="2"/>
                <w:sz w:val="21"/>
                <w:szCs w:val="21"/>
                <w:u w:color="000000"/>
                <w:lang w:eastAsia="zh-CN"/>
              </w:rPr>
            </w:pPr>
            <w:r>
              <w:rPr>
                <w:rFonts w:hint="eastAsia" w:eastAsiaTheme="minorEastAsia"/>
                <w:kern w:val="2"/>
                <w:sz w:val="21"/>
                <w:szCs w:val="21"/>
                <w:u w:color="000000"/>
                <w:lang w:eastAsia="zh-CN"/>
              </w:rPr>
              <w:t>400片（4盒，100片/盒）</w:t>
            </w:r>
          </w:p>
        </w:tc>
        <w:tc>
          <w:tcPr>
            <w:tcW w:w="1577"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val="en-US" w:eastAsia="zh-CN"/>
              </w:rPr>
            </w:pPr>
            <w:r>
              <w:rPr>
                <w:rFonts w:hint="eastAsia" w:eastAsiaTheme="minorEastAsia"/>
                <w:color w:val="auto"/>
                <w:kern w:val="2"/>
                <w:sz w:val="21"/>
                <w:szCs w:val="21"/>
                <w:u w:color="000000"/>
                <w:lang w:val="en-US" w:eastAsia="zh-CN"/>
              </w:rPr>
              <w:t>36片</w:t>
            </w:r>
          </w:p>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eastAsia="zh-CN"/>
              </w:rPr>
            </w:pPr>
            <w:r>
              <w:rPr>
                <w:rStyle w:val="34"/>
                <w:rFonts w:hint="eastAsia"/>
                <w:color w:val="auto"/>
                <w:lang w:eastAsia="zh-CN"/>
              </w:rPr>
              <w:t>（</w:t>
            </w:r>
            <w:r>
              <w:rPr>
                <w:rStyle w:val="34"/>
                <w:rFonts w:hint="eastAsia"/>
                <w:color w:val="auto"/>
                <w:lang w:val="en-US" w:eastAsia="zh-CN"/>
              </w:rPr>
              <w:t>不</w:t>
            </w:r>
            <w:r>
              <w:rPr>
                <w:rStyle w:val="34"/>
                <w:rFonts w:hint="eastAsia"/>
                <w:color w:val="auto"/>
                <w:lang w:eastAsia="zh-CN"/>
              </w:rPr>
              <w:t>含备用）</w:t>
            </w:r>
          </w:p>
        </w:tc>
        <w:tc>
          <w:tcPr>
            <w:tcW w:w="1568"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val="en-US" w:eastAsia="zh-CN"/>
              </w:rPr>
            </w:pPr>
            <w:r>
              <w:rPr>
                <w:rFonts w:hint="eastAsia" w:eastAsiaTheme="minorEastAsia"/>
                <w:color w:val="auto"/>
                <w:kern w:val="2"/>
                <w:sz w:val="21"/>
                <w:szCs w:val="21"/>
                <w:u w:color="000000"/>
                <w:lang w:val="en-US" w:eastAsia="zh-CN"/>
              </w:rPr>
              <w:t>36片</w:t>
            </w:r>
          </w:p>
          <w:p>
            <w:pPr>
              <w:widowControl w:val="0"/>
              <w:autoSpaceDE w:val="0"/>
              <w:autoSpaceDN w:val="0"/>
              <w:adjustRightInd w:val="0"/>
              <w:ind w:left="-122" w:leftChars="-104" w:right="-250" w:rightChars="-104" w:hanging="128" w:hangingChars="61"/>
              <w:contextualSpacing/>
              <w:jc w:val="center"/>
              <w:rPr>
                <w:rFonts w:eastAsiaTheme="minorEastAsia"/>
                <w:color w:val="auto"/>
                <w:kern w:val="2"/>
                <w:sz w:val="21"/>
                <w:szCs w:val="21"/>
                <w:u w:color="000000"/>
                <w:lang w:eastAsia="zh-CN"/>
              </w:rPr>
            </w:pPr>
            <w:r>
              <w:rPr>
                <w:rStyle w:val="34"/>
                <w:rFonts w:hint="eastAsia"/>
                <w:color w:val="auto"/>
                <w:lang w:eastAsia="zh-CN"/>
              </w:rPr>
              <w:t>（</w:t>
            </w:r>
            <w:r>
              <w:rPr>
                <w:rStyle w:val="34"/>
                <w:rFonts w:hint="eastAsia"/>
                <w:color w:val="auto"/>
                <w:lang w:val="en-US" w:eastAsia="zh-CN"/>
              </w:rPr>
              <w:t>不</w:t>
            </w:r>
            <w:r>
              <w:rPr>
                <w:rStyle w:val="34"/>
                <w:rFonts w:hint="eastAsia"/>
                <w:color w:val="auto"/>
                <w:lang w:eastAsia="zh-CN"/>
              </w:rPr>
              <w:t>含备用）</w:t>
            </w:r>
          </w:p>
        </w:tc>
        <w:tc>
          <w:tcPr>
            <w:tcW w:w="1571" w:type="dxa"/>
            <w:vAlign w:val="center"/>
          </w:tcPr>
          <w:p>
            <w:pPr>
              <w:widowControl w:val="0"/>
              <w:autoSpaceDE w:val="0"/>
              <w:autoSpaceDN w:val="0"/>
              <w:adjustRightInd w:val="0"/>
              <w:ind w:left="-122" w:leftChars="-104" w:right="-250" w:rightChars="-104" w:hanging="128" w:hangingChars="61"/>
              <w:contextualSpacing/>
              <w:jc w:val="center"/>
              <w:rPr>
                <w:rFonts w:eastAsiaTheme="minorEastAsia"/>
                <w:kern w:val="2"/>
                <w:sz w:val="21"/>
                <w:szCs w:val="21"/>
                <w:u w:color="000000"/>
                <w:lang w:eastAsia="zh-CN"/>
              </w:rPr>
            </w:pPr>
            <w:r>
              <w:rPr>
                <w:rFonts w:hint="eastAsia" w:eastAsiaTheme="minorEastAsia"/>
                <w:kern w:val="2"/>
                <w:sz w:val="21"/>
                <w:szCs w:val="21"/>
                <w:u w:color="000000"/>
                <w:lang w:eastAsia="zh-CN"/>
              </w:rPr>
              <w:t>300片（3盒）</w:t>
            </w:r>
          </w:p>
        </w:tc>
      </w:tr>
    </w:tbl>
    <w:p>
      <w:pPr>
        <w:pStyle w:val="50"/>
        <w:autoSpaceDE w:val="0"/>
        <w:autoSpaceDN w:val="0"/>
        <w:adjustRightInd w:val="0"/>
        <w:spacing w:line="240" w:lineRule="auto"/>
        <w:ind w:left="0" w:firstLine="0"/>
        <w:contextualSpacing/>
        <w:rPr>
          <w:rFonts w:eastAsiaTheme="minorEastAsia"/>
          <w:color w:val="auto"/>
          <w:sz w:val="18"/>
          <w:szCs w:val="18"/>
        </w:rPr>
      </w:pPr>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197" w:name="_Toc460500115"/>
      <w:bookmarkStart w:id="198" w:name="_Toc460952496"/>
      <w:bookmarkStart w:id="199" w:name="_Toc521584575"/>
      <w:bookmarkStart w:id="200" w:name="_Toc13387"/>
      <w:bookmarkStart w:id="201" w:name="_Toc22627"/>
      <w:r>
        <w:rPr>
          <w:rFonts w:ascii="Times New Roman" w:hAnsi="Times New Roman" w:eastAsiaTheme="minorEastAsia"/>
          <w:sz w:val="24"/>
          <w:szCs w:val="24"/>
          <w:lang w:val="zh-TW" w:eastAsia="zh-TW"/>
        </w:rPr>
        <w:t>研究给药剂量的确定</w:t>
      </w:r>
      <w:bookmarkEnd w:id="197"/>
      <w:bookmarkEnd w:id="198"/>
      <w:bookmarkEnd w:id="199"/>
      <w:bookmarkEnd w:id="200"/>
      <w:bookmarkEnd w:id="201"/>
    </w:p>
    <w:p>
      <w:pPr>
        <w:pStyle w:val="50"/>
        <w:autoSpaceDE w:val="0"/>
        <w:autoSpaceDN w:val="0"/>
        <w:adjustRightInd w:val="0"/>
        <w:ind w:left="0" w:firstLine="480" w:firstLineChars="200"/>
        <w:contextualSpacing/>
        <w:rPr>
          <w:rFonts w:eastAsiaTheme="minorEastAsia"/>
          <w:color w:val="auto"/>
          <w:lang w:val="zh-TW"/>
        </w:rPr>
      </w:pPr>
      <w:bookmarkStart w:id="202" w:name="_Toc4732"/>
      <w:bookmarkStart w:id="203" w:name="_Toc460952497"/>
      <w:bookmarkStart w:id="204" w:name="_Toc460500116"/>
      <w:r>
        <w:rPr>
          <w:rFonts w:eastAsiaTheme="minorEastAsia"/>
          <w:color w:val="auto"/>
          <w:lang w:val="zh-TW" w:eastAsia="zh-TW"/>
        </w:rPr>
        <w:t>本研究的受试制剂和参比制剂药品规格为</w:t>
      </w:r>
      <w:r>
        <w:rPr>
          <w:rFonts w:eastAsiaTheme="minorEastAsia"/>
          <w:color w:val="auto"/>
          <w:lang w:val="zh-TW"/>
        </w:rPr>
        <w:fldChar w:fldCharType="begin"/>
      </w:r>
      <w:r>
        <w:rPr>
          <w:rFonts w:eastAsiaTheme="minorEastAsia"/>
          <w:color w:val="auto"/>
          <w:lang w:val="zh-TW"/>
        </w:rPr>
        <w:instrText xml:space="preserve"> MERGEFIELD T规格 </w:instrText>
      </w:r>
      <w:r>
        <w:rPr>
          <w:rFonts w:eastAsiaTheme="minorEastAsia"/>
          <w:color w:val="auto"/>
          <w:lang w:val="zh-TW"/>
        </w:rPr>
        <w:fldChar w:fldCharType="separate"/>
      </w:r>
      <w:r>
        <w:rPr>
          <w:rFonts w:hint="eastAsia" w:eastAsiaTheme="minorEastAsia"/>
          <w:lang w:val="zh-TW" w:eastAsia="zh-CN"/>
        </w:rPr>
        <w:t>XX</w:t>
      </w:r>
      <w:r>
        <w:rPr>
          <w:rFonts w:hint="eastAsia" w:eastAsiaTheme="minorEastAsia"/>
          <w:lang w:val="zh-TW"/>
        </w:rPr>
        <w:t>g</w:t>
      </w:r>
      <w:r>
        <w:rPr>
          <w:rFonts w:eastAsiaTheme="minorEastAsia"/>
          <w:lang w:val="zh-TW"/>
        </w:rPr>
        <w:t>/</w:t>
      </w:r>
      <w:r>
        <w:rPr>
          <w:rFonts w:hint="eastAsia" w:eastAsiaTheme="minorEastAsia"/>
          <w:lang w:val="zh-TW"/>
        </w:rPr>
        <w:t>片</w:t>
      </w:r>
      <w:r>
        <w:rPr>
          <w:rFonts w:eastAsiaTheme="minorEastAsia"/>
          <w:color w:val="auto"/>
          <w:lang w:val="zh-TW"/>
        </w:rPr>
        <w:fldChar w:fldCharType="end"/>
      </w:r>
      <w:r>
        <w:rPr>
          <w:rFonts w:eastAsiaTheme="minorEastAsia"/>
          <w:color w:val="auto"/>
          <w:lang w:val="zh-TW" w:eastAsia="zh-TW"/>
        </w:rPr>
        <w:t>，</w:t>
      </w:r>
      <w:r>
        <w:rPr>
          <w:rFonts w:hint="eastAsia" w:eastAsiaTheme="minorEastAsia"/>
          <w:color w:val="auto"/>
        </w:rPr>
        <w:t>说明书成人单次最大剂量可达2.5g，</w:t>
      </w:r>
      <w:r>
        <w:rPr>
          <w:rFonts w:eastAsia="宋体"/>
          <w:color w:val="auto"/>
          <w:lang w:val="zh-TW" w:eastAsia="zh-TW"/>
        </w:rPr>
        <w:t>综合考虑健康志愿者使用药物的安全性及药物的规格，</w:t>
      </w:r>
      <w:r>
        <w:rPr>
          <w:rFonts w:eastAsiaTheme="minorEastAsia"/>
          <w:color w:val="auto"/>
          <w:lang w:val="zh-TW" w:eastAsia="zh-TW"/>
        </w:rPr>
        <w:t>将给药剂量定为每周期单次口服</w:t>
      </w:r>
      <w:r>
        <w:rPr>
          <w:rFonts w:eastAsiaTheme="minorEastAsia"/>
          <w:color w:val="auto"/>
          <w:lang w:val="zh-TW"/>
        </w:rPr>
        <w:fldChar w:fldCharType="begin"/>
      </w:r>
      <w:r>
        <w:rPr>
          <w:rFonts w:eastAsiaTheme="minorEastAsia"/>
          <w:color w:val="auto"/>
          <w:lang w:val="zh-TW"/>
        </w:rPr>
        <w:instrText xml:space="preserve"> MERGEFIELD T给药剂量 </w:instrText>
      </w:r>
      <w:r>
        <w:rPr>
          <w:rFonts w:eastAsiaTheme="minorEastAsia"/>
          <w:color w:val="auto"/>
          <w:lang w:val="zh-TW"/>
        </w:rPr>
        <w:fldChar w:fldCharType="separate"/>
      </w:r>
      <w:r>
        <w:rPr>
          <w:rFonts w:hint="eastAsia" w:eastAsiaTheme="minorEastAsia"/>
          <w:lang w:val="zh-TW" w:eastAsia="zh-CN"/>
        </w:rPr>
        <w:t>XX</w:t>
      </w:r>
      <w:r>
        <w:rPr>
          <w:rFonts w:hint="eastAsia" w:eastAsiaTheme="minorEastAsia"/>
          <w:lang w:val="zh-TW"/>
        </w:rPr>
        <w:t>g</w:t>
      </w:r>
      <w:r>
        <w:rPr>
          <w:rFonts w:eastAsiaTheme="minorEastAsia"/>
          <w:lang w:val="zh-TW"/>
        </w:rPr>
        <w:t>（1</w:t>
      </w:r>
      <w:r>
        <w:rPr>
          <w:rFonts w:hint="eastAsia" w:eastAsiaTheme="minorEastAsia"/>
          <w:lang w:val="zh-TW"/>
        </w:rPr>
        <w:t>片</w:t>
      </w:r>
      <w:r>
        <w:rPr>
          <w:rFonts w:eastAsiaTheme="minorEastAsia"/>
          <w:lang w:val="zh-TW"/>
        </w:rPr>
        <w:t>）</w:t>
      </w:r>
      <w:r>
        <w:rPr>
          <w:rFonts w:eastAsiaTheme="minorEastAsia"/>
          <w:color w:val="auto"/>
          <w:lang w:val="zh-TW"/>
        </w:rPr>
        <w:fldChar w:fldCharType="end"/>
      </w:r>
      <w:r>
        <w:rPr>
          <w:rFonts w:eastAsiaTheme="minorEastAsia"/>
          <w:color w:val="auto"/>
          <w:lang w:val="zh-TW" w:eastAsia="zh-TW"/>
        </w:rPr>
        <w:t>。</w:t>
      </w:r>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05" w:name="_Toc521584576"/>
      <w:bookmarkStart w:id="206" w:name="_Toc12642"/>
      <w:r>
        <w:rPr>
          <w:rFonts w:ascii="Times New Roman" w:hAnsi="Times New Roman" w:eastAsiaTheme="minorEastAsia"/>
          <w:sz w:val="24"/>
          <w:szCs w:val="24"/>
          <w:lang w:val="zh-TW" w:eastAsia="zh-TW"/>
        </w:rPr>
        <w:t>受试者给药方法</w:t>
      </w:r>
      <w:bookmarkEnd w:id="202"/>
      <w:bookmarkEnd w:id="203"/>
      <w:bookmarkEnd w:id="204"/>
      <w:bookmarkEnd w:id="205"/>
      <w:bookmarkEnd w:id="206"/>
    </w:p>
    <w:p>
      <w:pPr>
        <w:pStyle w:val="50"/>
        <w:autoSpaceDE w:val="0"/>
        <w:autoSpaceDN w:val="0"/>
        <w:adjustRightInd w:val="0"/>
        <w:ind w:left="0" w:firstLine="480" w:firstLineChars="200"/>
        <w:contextualSpacing/>
        <w:rPr>
          <w:rFonts w:eastAsiaTheme="minorEastAsia"/>
          <w:color w:val="auto"/>
          <w:lang w:val="zh-TW" w:eastAsia="zh-TW"/>
        </w:rPr>
      </w:pPr>
      <w:r>
        <w:rPr>
          <w:rFonts w:hint="eastAsia" w:eastAsiaTheme="minorEastAsia"/>
          <w:color w:val="auto"/>
          <w:lang w:val="zh-TW" w:eastAsia="zh-TW"/>
        </w:rPr>
        <w:t>受试者按照</w:t>
      </w:r>
      <w:r>
        <w:rPr>
          <w:rFonts w:hint="eastAsia" w:eastAsiaTheme="minorEastAsia"/>
          <w:color w:val="auto"/>
        </w:rPr>
        <w:t>随机化列表</w:t>
      </w:r>
      <w:r>
        <w:rPr>
          <w:rFonts w:hint="eastAsia" w:eastAsiaTheme="minorEastAsia"/>
          <w:color w:val="auto"/>
          <w:lang w:val="zh-TW" w:eastAsia="zh-TW"/>
        </w:rPr>
        <w:t>随机分到</w:t>
      </w:r>
      <w:r>
        <w:rPr>
          <w:rFonts w:hint="eastAsia" w:eastAsiaTheme="minorEastAsia"/>
          <w:color w:val="auto"/>
        </w:rPr>
        <w:t>2</w:t>
      </w:r>
      <w:r>
        <w:rPr>
          <w:rFonts w:hint="eastAsia" w:eastAsiaTheme="minorEastAsia"/>
          <w:color w:val="auto"/>
          <w:lang w:val="zh-TW" w:eastAsia="zh-TW"/>
        </w:rPr>
        <w:t>个给药顺序组（T-R组、R-T组），每组</w:t>
      </w:r>
      <w:r>
        <w:rPr>
          <w:rFonts w:hint="eastAsia" w:eastAsiaTheme="minorEastAsia"/>
          <w:color w:val="auto"/>
        </w:rPr>
        <w:t>人数相同</w:t>
      </w:r>
      <w:r>
        <w:rPr>
          <w:rFonts w:hint="eastAsia" w:eastAsiaTheme="minorEastAsia"/>
          <w:color w:val="auto"/>
          <w:lang w:val="zh-TW"/>
        </w:rPr>
        <w:t>，</w:t>
      </w:r>
      <w:r>
        <w:rPr>
          <w:rFonts w:hint="eastAsia" w:eastAsiaTheme="minorEastAsia"/>
          <w:color w:val="auto"/>
        </w:rPr>
        <w:t>随机方法详见方案1.5.</w:t>
      </w:r>
      <w:r>
        <w:rPr>
          <w:rFonts w:hint="eastAsia" w:eastAsiaTheme="minorEastAsia"/>
          <w:color w:val="auto"/>
          <w:lang w:val="en-US" w:eastAsia="zh-CN"/>
        </w:rPr>
        <w:t>3</w:t>
      </w:r>
      <w:r>
        <w:rPr>
          <w:rFonts w:hint="eastAsia" w:eastAsiaTheme="minorEastAsia"/>
          <w:color w:val="auto"/>
          <w:lang w:val="zh-TW" w:eastAsia="zh-TW"/>
        </w:rPr>
        <w:t>。</w:t>
      </w:r>
      <w:r>
        <w:rPr>
          <w:rFonts w:hint="eastAsia" w:eastAsiaTheme="minorEastAsia"/>
          <w:color w:val="auto"/>
        </w:rPr>
        <w:t>每周期按照方案给药顺序分别在空腹或高脂餐后30±0.5min内单次口服受试制剂</w:t>
      </w:r>
      <w:r>
        <w:rPr>
          <w:rFonts w:hint="eastAsia" w:eastAsiaTheme="minorEastAsia"/>
          <w:color w:val="auto"/>
          <w:lang w:val="zh-TW" w:eastAsia="zh-TW"/>
        </w:rPr>
        <w:t>（T）</w:t>
      </w:r>
      <w:r>
        <w:rPr>
          <w:rFonts w:hint="eastAsia" w:eastAsiaTheme="minorEastAsia"/>
          <w:color w:val="auto"/>
          <w:lang w:val="zh-TW" w:eastAsia="zh-CN"/>
        </w:rPr>
        <w:t>XX</w:t>
      </w:r>
      <w:r>
        <w:rPr>
          <w:rFonts w:hint="eastAsia" w:eastAsiaTheme="minorEastAsia"/>
          <w:color w:val="auto"/>
          <w:lang w:val="zh-TW"/>
        </w:rPr>
        <w:t>g</w:t>
      </w:r>
      <w:r>
        <w:rPr>
          <w:rFonts w:hint="eastAsia" w:eastAsiaTheme="minorEastAsia"/>
          <w:color w:val="auto"/>
          <w:lang w:val="zh-TW" w:eastAsia="zh-TW"/>
        </w:rPr>
        <w:t>（1</w:t>
      </w:r>
      <w:r>
        <w:rPr>
          <w:rFonts w:hint="eastAsia" w:eastAsiaTheme="minorEastAsia"/>
          <w:color w:val="auto"/>
          <w:lang w:val="zh-TW"/>
        </w:rPr>
        <w:t>片</w:t>
      </w:r>
      <w:r>
        <w:rPr>
          <w:rFonts w:hint="eastAsia" w:eastAsiaTheme="minorEastAsia"/>
          <w:color w:val="auto"/>
          <w:lang w:val="zh-TW" w:eastAsia="zh-TW"/>
        </w:rPr>
        <w:t>）</w:t>
      </w:r>
      <w:r>
        <w:rPr>
          <w:rFonts w:hint="eastAsia" w:eastAsiaTheme="minorEastAsia"/>
          <w:color w:val="auto"/>
        </w:rPr>
        <w:t>或参比制剂</w:t>
      </w:r>
      <w:r>
        <w:rPr>
          <w:rFonts w:hint="eastAsia" w:eastAsiaTheme="minorEastAsia"/>
          <w:color w:val="auto"/>
          <w:lang w:val="zh-TW" w:eastAsia="zh-TW"/>
        </w:rPr>
        <w:t>（R，</w:t>
      </w:r>
      <w:r>
        <w:rPr>
          <w:rFonts w:hint="eastAsia" w:eastAsia="宋体"/>
          <w:kern w:val="0"/>
          <w:sz w:val="21"/>
          <w:szCs w:val="21"/>
          <w:lang w:eastAsia="zh-CN" w:bidi="ar"/>
        </w:rPr>
        <w:t>XXX</w:t>
      </w:r>
      <w:r>
        <w:rPr>
          <w:rFonts w:hint="eastAsia" w:eastAsiaTheme="minorEastAsia"/>
          <w:color w:val="auto"/>
          <w:lang w:val="zh-TW" w:eastAsia="zh-TW"/>
        </w:rPr>
        <w:t>）</w:t>
      </w:r>
      <w:r>
        <w:rPr>
          <w:rFonts w:hint="eastAsia" w:eastAsiaTheme="minorEastAsia"/>
          <w:color w:val="auto"/>
          <w:lang w:val="zh-TW" w:eastAsia="zh-CN"/>
        </w:rPr>
        <w:t>XX</w:t>
      </w:r>
      <w:r>
        <w:rPr>
          <w:rFonts w:hint="eastAsia" w:eastAsiaTheme="minorEastAsia"/>
          <w:color w:val="auto"/>
          <w:lang w:val="zh-TW"/>
        </w:rPr>
        <w:t>g</w:t>
      </w:r>
      <w:r>
        <w:rPr>
          <w:rFonts w:hint="eastAsia" w:eastAsiaTheme="minorEastAsia"/>
          <w:color w:val="auto"/>
          <w:lang w:val="zh-TW" w:eastAsia="zh-TW"/>
        </w:rPr>
        <w:t>（1</w:t>
      </w:r>
      <w:r>
        <w:rPr>
          <w:rFonts w:hint="eastAsia" w:eastAsiaTheme="minorEastAsia"/>
          <w:color w:val="auto"/>
          <w:lang w:val="zh-TW"/>
        </w:rPr>
        <w:t>片</w:t>
      </w:r>
      <w:r>
        <w:rPr>
          <w:rFonts w:hint="eastAsia" w:eastAsiaTheme="minorEastAsia"/>
          <w:color w:val="auto"/>
          <w:lang w:val="zh-TW" w:eastAsia="zh-TW"/>
        </w:rPr>
        <w:t>）</w:t>
      </w:r>
      <w:r>
        <w:rPr>
          <w:rFonts w:hint="eastAsia" w:eastAsiaTheme="minorEastAsia"/>
          <w:color w:val="auto"/>
          <w:lang w:val="zh-TW"/>
        </w:rPr>
        <w:t>，</w:t>
      </w:r>
      <w:r>
        <w:rPr>
          <w:rFonts w:hint="eastAsia" w:eastAsiaTheme="minorEastAsia"/>
          <w:color w:val="auto"/>
          <w:lang w:val="zh-TW" w:eastAsia="zh-TW"/>
        </w:rPr>
        <w:t>240mL</w:t>
      </w:r>
      <w:r>
        <w:rPr>
          <w:rFonts w:hint="eastAsia" w:eastAsiaTheme="minorEastAsia"/>
          <w:color w:val="auto"/>
          <w:lang w:val="zh-TW"/>
        </w:rPr>
        <w:t>温水</w:t>
      </w:r>
      <w:r>
        <w:rPr>
          <w:rFonts w:hint="eastAsia" w:eastAsiaTheme="minorEastAsia"/>
          <w:color w:val="auto"/>
          <w:lang w:val="zh-TW" w:eastAsia="zh-TW"/>
        </w:rPr>
        <w:t>送服。</w:t>
      </w:r>
    </w:p>
    <w:p>
      <w:pPr>
        <w:widowControl w:val="0"/>
        <w:autoSpaceDE w:val="0"/>
        <w:autoSpaceDN w:val="0"/>
        <w:adjustRightInd w:val="0"/>
        <w:ind w:left="0" w:firstLine="480" w:firstLineChars="200"/>
        <w:contextualSpacing/>
        <w:rPr>
          <w:rFonts w:eastAsiaTheme="minorEastAsia"/>
          <w:kern w:val="2"/>
          <w:u w:color="000000"/>
          <w:lang w:val="zh-TW" w:eastAsia="zh-CN"/>
        </w:rPr>
      </w:pPr>
      <w:r>
        <w:rPr>
          <w:rFonts w:eastAsiaTheme="minorEastAsia"/>
          <w:lang w:val="zh-TW" w:eastAsia="zh-CN"/>
        </w:rPr>
        <w:t>高脂</w:t>
      </w:r>
      <w:r>
        <w:rPr>
          <w:rFonts w:eastAsiaTheme="minorEastAsia"/>
          <w:lang w:val="zh-TW" w:eastAsia="zh-TW"/>
        </w:rPr>
        <w:t>餐后</w:t>
      </w:r>
      <w:r>
        <w:rPr>
          <w:rFonts w:eastAsiaTheme="minorEastAsia"/>
          <w:lang w:val="zh-TW" w:eastAsia="zh-CN"/>
        </w:rPr>
        <w:t>试验</w:t>
      </w:r>
      <w:r>
        <w:rPr>
          <w:rFonts w:eastAsiaTheme="minorEastAsia"/>
          <w:lang w:val="zh-TW" w:eastAsia="zh-TW"/>
        </w:rPr>
        <w:t>进餐及用药时间要求：试验当日给药前30分钟时开始进食高脂餐，在30分钟内用餐完毕，并在开始进餐时间计的</w:t>
      </w:r>
      <w:r>
        <w:rPr>
          <w:rFonts w:hint="eastAsia" w:eastAsiaTheme="minorEastAsia"/>
          <w:color w:val="000000" w:themeColor="text1"/>
          <w:lang w:val="zh-TW" w:eastAsia="zh-CN"/>
          <w14:textFill>
            <w14:solidFill>
              <w14:schemeClr w14:val="tx1"/>
            </w14:solidFill>
          </w14:textFill>
        </w:rPr>
        <w:t>（30±0.5）</w:t>
      </w:r>
      <w:r>
        <w:rPr>
          <w:rFonts w:eastAsiaTheme="minorEastAsia"/>
          <w:color w:val="000000" w:themeColor="text1"/>
          <w:lang w:val="zh-TW" w:eastAsia="zh-CN"/>
          <w14:textFill>
            <w14:solidFill>
              <w14:schemeClr w14:val="tx1"/>
            </w14:solidFill>
          </w14:textFill>
        </w:rPr>
        <w:t>min内</w:t>
      </w:r>
      <w:r>
        <w:rPr>
          <w:rFonts w:eastAsiaTheme="minorEastAsia"/>
          <w:lang w:val="zh-TW" w:eastAsia="zh-TW"/>
        </w:rPr>
        <w:t>服用试验药物。</w:t>
      </w:r>
    </w:p>
    <w:p>
      <w:pPr>
        <w:widowControl w:val="0"/>
        <w:autoSpaceDE w:val="0"/>
        <w:autoSpaceDN w:val="0"/>
        <w:adjustRightInd w:val="0"/>
        <w:ind w:left="0" w:firstLine="480" w:firstLineChars="200"/>
        <w:contextualSpacing/>
        <w:rPr>
          <w:rFonts w:eastAsiaTheme="minorEastAsia"/>
          <w:color w:val="auto"/>
          <w:kern w:val="2"/>
          <w:u w:color="000000"/>
          <w:lang w:val="zh-TW" w:eastAsia="zh-CN"/>
        </w:rPr>
      </w:pPr>
      <w:bookmarkStart w:id="207" w:name="_Hlk502513165"/>
      <w:r>
        <w:rPr>
          <w:rFonts w:eastAsiaTheme="minorEastAsia"/>
          <w:kern w:val="2"/>
          <w:u w:color="000000"/>
          <w:lang w:val="zh-TW" w:eastAsia="zh-CN"/>
        </w:rPr>
        <w:t>根据最新相关生物等效性指导原则要求，</w:t>
      </w:r>
      <w:bookmarkEnd w:id="207"/>
      <w:r>
        <w:rPr>
          <w:rFonts w:eastAsiaTheme="minorEastAsia"/>
          <w:kern w:val="2"/>
          <w:u w:color="000000"/>
          <w:lang w:val="zh-TW" w:eastAsia="zh-CN"/>
        </w:rPr>
        <w:t>餐后生物等效性研究标准的组成，须采用对胃肠道生理功能和药物生物利用度影响大的餐饮进行餐后生物等效性研究，如高脂（提供食物中约50%的热量）高热（约800~1000千卡）饮食。其中蛋白质约提供150千卡热量，碳水化合物约提供250千卡热量，脂肪约提供500~600千卡热量</w:t>
      </w:r>
      <w:r>
        <w:rPr>
          <w:rFonts w:eastAsiaTheme="minorEastAsia"/>
          <w:color w:val="auto"/>
          <w:kern w:val="2"/>
          <w:u w:color="000000"/>
          <w:lang w:val="zh-TW" w:eastAsia="zh-CN"/>
        </w:rPr>
        <w:t>。具体参考</w:t>
      </w:r>
      <w:r>
        <w:rPr>
          <w:rFonts w:eastAsiaTheme="minorEastAsia"/>
          <w:color w:val="auto"/>
          <w:kern w:val="2"/>
          <w:u w:color="000000"/>
          <w:lang w:val="zh-TW" w:eastAsia="zh-CN"/>
        </w:rPr>
        <w:fldChar w:fldCharType="begin"/>
      </w:r>
      <w:r>
        <w:rPr>
          <w:rFonts w:eastAsiaTheme="minorEastAsia"/>
          <w:color w:val="auto"/>
          <w:kern w:val="2"/>
          <w:u w:color="000000"/>
          <w:lang w:val="zh-TW" w:eastAsia="zh-CN"/>
        </w:rPr>
        <w:instrText xml:space="preserve"> MERGEFIELD 机构 </w:instrText>
      </w:r>
      <w:r>
        <w:rPr>
          <w:rFonts w:eastAsiaTheme="minorEastAsia"/>
          <w:color w:val="auto"/>
          <w:kern w:val="2"/>
          <w:u w:color="000000"/>
          <w:lang w:val="zh-TW" w:eastAsia="zh-CN"/>
        </w:rPr>
        <w:fldChar w:fldCharType="separate"/>
      </w:r>
      <w:r>
        <w:rPr>
          <w:rFonts w:eastAsiaTheme="minorEastAsia"/>
          <w:color w:val="auto"/>
          <w:kern w:val="2"/>
          <w:u w:color="000000"/>
          <w:lang w:val="zh-TW" w:eastAsia="zh-CN"/>
        </w:rPr>
        <w:t>广州市番禺</w:t>
      </w:r>
      <w:r>
        <w:rPr>
          <w:rFonts w:hint="eastAsia" w:eastAsiaTheme="minorEastAsia"/>
          <w:color w:val="auto"/>
          <w:kern w:val="2"/>
          <w:u w:color="000000"/>
          <w:lang w:val="zh-TW" w:eastAsia="zh-CN"/>
        </w:rPr>
        <w:t>区</w:t>
      </w:r>
      <w:r>
        <w:rPr>
          <w:rFonts w:eastAsiaTheme="minorEastAsia"/>
          <w:color w:val="auto"/>
          <w:kern w:val="2"/>
          <w:u w:color="000000"/>
          <w:lang w:val="zh-TW" w:eastAsia="zh-CN"/>
        </w:rPr>
        <w:t>中心医院</w:t>
      </w:r>
      <w:r>
        <w:rPr>
          <w:rFonts w:eastAsiaTheme="minorEastAsia"/>
          <w:color w:val="auto"/>
          <w:kern w:val="2"/>
          <w:u w:color="000000"/>
          <w:lang w:val="zh-TW" w:eastAsia="zh-CN"/>
        </w:rPr>
        <w:fldChar w:fldCharType="end"/>
      </w:r>
      <w:r>
        <w:rPr>
          <w:rFonts w:eastAsiaTheme="minorEastAsia"/>
          <w:color w:val="auto"/>
          <w:kern w:val="2"/>
          <w:u w:color="000000"/>
          <w:lang w:val="zh-TW" w:eastAsia="zh-CN"/>
        </w:rPr>
        <w:t>相关高脂餐方案标准。</w:t>
      </w:r>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08" w:name="_Toc447001452"/>
      <w:bookmarkStart w:id="209" w:name="_Toc460500120"/>
      <w:bookmarkStart w:id="210" w:name="_Toc10555"/>
      <w:bookmarkStart w:id="211" w:name="_Toc521584578"/>
      <w:bookmarkStart w:id="212" w:name="_Toc460952498"/>
      <w:bookmarkStart w:id="213" w:name="_Toc18203"/>
      <w:r>
        <w:rPr>
          <w:rFonts w:ascii="Times New Roman" w:hAnsi="Times New Roman" w:eastAsiaTheme="minorEastAsia"/>
          <w:sz w:val="24"/>
          <w:szCs w:val="24"/>
          <w:lang w:val="zh-TW" w:eastAsia="zh-TW"/>
        </w:rPr>
        <w:t>设盲</w:t>
      </w:r>
      <w:bookmarkEnd w:id="208"/>
      <w:bookmarkEnd w:id="209"/>
      <w:bookmarkEnd w:id="210"/>
      <w:bookmarkEnd w:id="211"/>
      <w:bookmarkEnd w:id="212"/>
      <w:bookmarkEnd w:id="213"/>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本次临床研究为开放性研究，除</w:t>
      </w:r>
      <w:r>
        <w:rPr>
          <w:rFonts w:eastAsiaTheme="minorEastAsia"/>
          <w:color w:val="auto"/>
          <w:lang w:val="zh-TW"/>
        </w:rPr>
        <w:t>生物样本</w:t>
      </w:r>
      <w:r>
        <w:rPr>
          <w:rFonts w:eastAsiaTheme="minorEastAsia"/>
          <w:color w:val="auto"/>
          <w:lang w:val="zh-TW" w:eastAsia="zh-TW"/>
        </w:rPr>
        <w:t>分析测试人员外，其他人员如临床研究者、项目管理人员、项目监查人员、数据管理及</w:t>
      </w:r>
      <w:r>
        <w:rPr>
          <w:rFonts w:eastAsiaTheme="minorEastAsia"/>
          <w:color w:val="auto"/>
          <w:lang w:val="zh-TW"/>
        </w:rPr>
        <w:t>统计</w:t>
      </w:r>
      <w:r>
        <w:rPr>
          <w:rFonts w:eastAsiaTheme="minorEastAsia"/>
          <w:color w:val="auto"/>
          <w:lang w:val="zh-TW" w:eastAsia="zh-TW"/>
        </w:rPr>
        <w:t>分析人员等均不设盲，分析测试人员将采用盲态分析，在样本分析过程中不知道受试者随机编码及每周期的给药制剂。</w:t>
      </w:r>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14" w:name="_Toc521584579"/>
      <w:bookmarkStart w:id="215" w:name="_Toc460500121"/>
      <w:bookmarkStart w:id="216" w:name="_Toc7906"/>
      <w:bookmarkStart w:id="217" w:name="_Toc460952499"/>
      <w:bookmarkStart w:id="218" w:name="_Toc11557"/>
      <w:bookmarkStart w:id="219" w:name="_Toc447001453"/>
      <w:r>
        <w:rPr>
          <w:rFonts w:ascii="Times New Roman" w:hAnsi="Times New Roman" w:eastAsiaTheme="minorEastAsia"/>
          <w:sz w:val="24"/>
          <w:szCs w:val="24"/>
          <w:lang w:val="zh-TW" w:eastAsia="zh-TW"/>
        </w:rPr>
        <w:t>试验前和试验过程中的其他治疗药物</w:t>
      </w:r>
      <w:bookmarkEnd w:id="214"/>
      <w:bookmarkEnd w:id="215"/>
      <w:bookmarkEnd w:id="216"/>
      <w:bookmarkEnd w:id="217"/>
      <w:bookmarkEnd w:id="218"/>
      <w:bookmarkEnd w:id="219"/>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在本</w:t>
      </w:r>
      <w:r>
        <w:rPr>
          <w:rFonts w:eastAsiaTheme="minorEastAsia"/>
          <w:color w:val="auto"/>
          <w:lang w:val="zh-TW"/>
        </w:rPr>
        <w:t>试验</w:t>
      </w:r>
      <w:r>
        <w:rPr>
          <w:rFonts w:eastAsiaTheme="minorEastAsia"/>
          <w:color w:val="auto"/>
          <w:lang w:val="zh-TW" w:eastAsia="zh-TW"/>
        </w:rPr>
        <w:t>期间，除了用于治疗不良事件的药物，禁用</w:t>
      </w:r>
      <w:r>
        <w:rPr>
          <w:rFonts w:hint="eastAsia" w:eastAsiaTheme="minorEastAsia"/>
          <w:color w:val="auto"/>
          <w:lang w:val="zh-TW"/>
        </w:rPr>
        <w:t>使用</w:t>
      </w:r>
      <w:r>
        <w:rPr>
          <w:rFonts w:eastAsiaTheme="minorEastAsia"/>
          <w:color w:val="auto"/>
          <w:lang w:val="zh-TW" w:eastAsia="zh-TW"/>
        </w:rPr>
        <w:t>试验用药以外任何药品。试验期间使用的除试验用药以外的任何药品，应该在原始记录和病例报告表中进行详细记录，记录应包括：药品名称、剂量、用药日期和使用适应证</w:t>
      </w:r>
      <w:r>
        <w:rPr>
          <w:rFonts w:hint="eastAsia" w:eastAsiaTheme="minorEastAsia"/>
          <w:color w:val="auto"/>
          <w:lang w:val="zh-TW"/>
        </w:rPr>
        <w:t>等</w:t>
      </w:r>
      <w:r>
        <w:rPr>
          <w:rFonts w:eastAsiaTheme="minorEastAsia"/>
          <w:color w:val="auto"/>
          <w:lang w:val="zh-TW" w:eastAsia="zh-TW"/>
        </w:rPr>
        <w:t>。</w:t>
      </w:r>
    </w:p>
    <w:p>
      <w:pPr>
        <w:pStyle w:val="4"/>
        <w:keepNext w:val="0"/>
        <w:keepLines w:val="0"/>
        <w:widowControl w:val="0"/>
        <w:numPr>
          <w:ilvl w:val="1"/>
          <w:numId w:val="23"/>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20" w:name="_Toc460500122"/>
      <w:bookmarkStart w:id="221" w:name="_Toc23253"/>
      <w:bookmarkStart w:id="222" w:name="_Toc447001454"/>
      <w:bookmarkStart w:id="223" w:name="_Toc521584580"/>
      <w:bookmarkStart w:id="224" w:name="_Toc8263"/>
      <w:bookmarkStart w:id="225" w:name="_Toc460952500"/>
      <w:r>
        <w:rPr>
          <w:rFonts w:ascii="Times New Roman" w:hAnsi="Times New Roman" w:eastAsiaTheme="minorEastAsia"/>
          <w:sz w:val="24"/>
          <w:szCs w:val="24"/>
          <w:lang w:val="zh-TW" w:eastAsia="zh-TW"/>
        </w:rPr>
        <w:t>服药依从性</w:t>
      </w:r>
      <w:bookmarkEnd w:id="220"/>
      <w:bookmarkEnd w:id="221"/>
      <w:bookmarkEnd w:id="222"/>
      <w:bookmarkEnd w:id="223"/>
      <w:bookmarkEnd w:id="224"/>
      <w:bookmarkEnd w:id="225"/>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在招募筛选阶段，详细介绍本</w:t>
      </w:r>
      <w:r>
        <w:rPr>
          <w:rFonts w:eastAsiaTheme="minorEastAsia"/>
          <w:color w:val="auto"/>
          <w:lang w:val="zh-TW"/>
        </w:rPr>
        <w:t>试验</w:t>
      </w:r>
      <w:r>
        <w:rPr>
          <w:rFonts w:eastAsiaTheme="minorEastAsia"/>
          <w:color w:val="auto"/>
          <w:lang w:val="zh-TW" w:eastAsia="zh-TW"/>
        </w:rPr>
        <w:t>的目的</w:t>
      </w:r>
      <w:r>
        <w:rPr>
          <w:rFonts w:eastAsiaTheme="minorEastAsia"/>
          <w:color w:val="auto"/>
          <w:lang w:val="zh-TW"/>
        </w:rPr>
        <w:t>、</w:t>
      </w:r>
      <w:r>
        <w:rPr>
          <w:rFonts w:eastAsiaTheme="minorEastAsia"/>
          <w:color w:val="auto"/>
          <w:lang w:val="zh-TW" w:eastAsia="zh-TW"/>
        </w:rPr>
        <w:t>试验用药品的基本情况</w:t>
      </w:r>
      <w:r>
        <w:rPr>
          <w:rFonts w:eastAsiaTheme="minorEastAsia"/>
          <w:color w:val="auto"/>
          <w:lang w:val="zh-TW"/>
        </w:rPr>
        <w:t>、</w:t>
      </w:r>
      <w:r>
        <w:rPr>
          <w:rFonts w:eastAsiaTheme="minorEastAsia"/>
          <w:color w:val="auto"/>
          <w:lang w:val="zh-TW" w:eastAsia="zh-TW"/>
        </w:rPr>
        <w:t>研究方案</w:t>
      </w:r>
      <w:r>
        <w:rPr>
          <w:rFonts w:eastAsiaTheme="minorEastAsia"/>
          <w:color w:val="auto"/>
          <w:lang w:val="zh-TW"/>
        </w:rPr>
        <w:t>、</w:t>
      </w:r>
      <w:r>
        <w:rPr>
          <w:rFonts w:eastAsiaTheme="minorEastAsia"/>
          <w:color w:val="auto"/>
          <w:lang w:val="zh-TW" w:eastAsia="zh-TW"/>
        </w:rPr>
        <w:t>试验流程</w:t>
      </w:r>
      <w:r>
        <w:rPr>
          <w:rFonts w:eastAsiaTheme="minorEastAsia"/>
          <w:color w:val="auto"/>
          <w:lang w:val="zh-TW"/>
        </w:rPr>
        <w:t>、</w:t>
      </w:r>
      <w:r>
        <w:rPr>
          <w:rFonts w:eastAsiaTheme="minorEastAsia"/>
          <w:color w:val="auto"/>
          <w:lang w:val="zh-TW" w:eastAsia="zh-TW"/>
        </w:rPr>
        <w:t>给药方案（如剂量，给药方式，周期等）</w:t>
      </w:r>
      <w:r>
        <w:rPr>
          <w:rFonts w:eastAsiaTheme="minorEastAsia"/>
          <w:color w:val="auto"/>
          <w:lang w:val="zh-TW"/>
        </w:rPr>
        <w:t>、</w:t>
      </w:r>
      <w:r>
        <w:rPr>
          <w:rFonts w:eastAsiaTheme="minorEastAsia"/>
          <w:color w:val="auto"/>
          <w:lang w:val="zh-TW" w:eastAsia="zh-TW"/>
        </w:rPr>
        <w:t>临床观察</w:t>
      </w:r>
      <w:r>
        <w:rPr>
          <w:rFonts w:eastAsiaTheme="minorEastAsia"/>
          <w:color w:val="auto"/>
          <w:lang w:val="zh-TW"/>
        </w:rPr>
        <w:t>、</w:t>
      </w:r>
      <w:r>
        <w:rPr>
          <w:rFonts w:eastAsiaTheme="minorEastAsia"/>
          <w:color w:val="auto"/>
          <w:lang w:val="zh-TW" w:eastAsia="zh-TW"/>
        </w:rPr>
        <w:t>生物样本采集的频次和流程</w:t>
      </w:r>
      <w:r>
        <w:rPr>
          <w:rFonts w:eastAsiaTheme="minorEastAsia"/>
          <w:color w:val="auto"/>
          <w:lang w:val="zh-TW"/>
        </w:rPr>
        <w:t>、</w:t>
      </w:r>
      <w:r>
        <w:rPr>
          <w:rFonts w:eastAsiaTheme="minorEastAsia"/>
          <w:color w:val="auto"/>
          <w:lang w:val="zh-TW" w:eastAsia="zh-TW"/>
        </w:rPr>
        <w:t>参加试验的潜在风险</w:t>
      </w:r>
      <w:r>
        <w:rPr>
          <w:rFonts w:eastAsiaTheme="minorEastAsia"/>
          <w:color w:val="auto"/>
          <w:lang w:val="zh-TW"/>
        </w:rPr>
        <w:t>、</w:t>
      </w:r>
      <w:r>
        <w:rPr>
          <w:rFonts w:eastAsiaTheme="minorEastAsia"/>
          <w:color w:val="auto"/>
          <w:lang w:val="zh-TW" w:eastAsia="zh-TW"/>
        </w:rPr>
        <w:t>补偿和赔偿等，使受试者充分知情</w:t>
      </w:r>
      <w:r>
        <w:rPr>
          <w:rFonts w:eastAsiaTheme="minorEastAsia"/>
          <w:color w:val="auto"/>
          <w:lang w:val="zh-TW"/>
        </w:rPr>
        <w:t>、</w:t>
      </w:r>
      <w:r>
        <w:rPr>
          <w:rFonts w:eastAsiaTheme="minorEastAsia"/>
          <w:color w:val="auto"/>
          <w:lang w:val="zh-TW" w:eastAsia="zh-TW"/>
        </w:rPr>
        <w:t>自愿参加，提高服药的依从性；在给药前，仔细核对受试者编号</w:t>
      </w:r>
      <w:r>
        <w:rPr>
          <w:rFonts w:eastAsiaTheme="minorEastAsia"/>
          <w:color w:val="auto"/>
          <w:lang w:val="zh-TW"/>
        </w:rPr>
        <w:t>、</w:t>
      </w:r>
      <w:r>
        <w:rPr>
          <w:rFonts w:eastAsiaTheme="minorEastAsia"/>
          <w:color w:val="auto"/>
          <w:lang w:val="zh-TW" w:eastAsia="zh-TW"/>
        </w:rPr>
        <w:t>给药随机编码表</w:t>
      </w:r>
      <w:r>
        <w:rPr>
          <w:rFonts w:eastAsiaTheme="minorEastAsia"/>
          <w:color w:val="auto"/>
          <w:lang w:val="zh-TW"/>
        </w:rPr>
        <w:t>、</w:t>
      </w:r>
      <w:r>
        <w:rPr>
          <w:rFonts w:eastAsiaTheme="minorEastAsia"/>
          <w:color w:val="auto"/>
          <w:lang w:val="zh-TW" w:eastAsia="zh-TW"/>
        </w:rPr>
        <w:t>给药剂量和顺序</w:t>
      </w:r>
      <w:r>
        <w:rPr>
          <w:rFonts w:eastAsiaTheme="minorEastAsia"/>
          <w:color w:val="auto"/>
          <w:lang w:val="zh-TW"/>
        </w:rPr>
        <w:t>；</w:t>
      </w:r>
      <w:r>
        <w:rPr>
          <w:rFonts w:eastAsiaTheme="minorEastAsia"/>
          <w:color w:val="auto"/>
          <w:lang w:val="zh-TW" w:eastAsia="zh-TW"/>
        </w:rPr>
        <w:t>给药后，仔细清点研究用药品的剩余数量和空袋装及给药器具，检查受试者的双手和口腔（口服药物）</w:t>
      </w:r>
      <w:r>
        <w:rPr>
          <w:rFonts w:eastAsiaTheme="minorEastAsia"/>
          <w:color w:val="auto"/>
          <w:lang w:val="zh-TW"/>
        </w:rPr>
        <w:t>，</w:t>
      </w:r>
      <w:r>
        <w:rPr>
          <w:rFonts w:eastAsiaTheme="minorEastAsia"/>
          <w:color w:val="auto"/>
          <w:lang w:val="zh-TW" w:eastAsia="zh-TW"/>
        </w:rPr>
        <w:t>防止</w:t>
      </w:r>
      <w:r>
        <w:rPr>
          <w:rFonts w:eastAsiaTheme="minorEastAsia"/>
          <w:color w:val="auto"/>
          <w:lang w:val="zh-TW"/>
        </w:rPr>
        <w:t>受试者将</w:t>
      </w:r>
      <w:r>
        <w:rPr>
          <w:rFonts w:eastAsiaTheme="minorEastAsia"/>
          <w:color w:val="auto"/>
          <w:lang w:val="zh-TW" w:eastAsia="zh-TW"/>
        </w:rPr>
        <w:t>药品藏匿</w:t>
      </w:r>
      <w:r>
        <w:rPr>
          <w:rFonts w:eastAsiaTheme="minorEastAsia"/>
          <w:color w:val="auto"/>
          <w:lang w:val="zh-TW"/>
        </w:rPr>
        <w:t>。高脂餐后试验</w:t>
      </w:r>
      <w:r>
        <w:rPr>
          <w:rFonts w:eastAsiaTheme="minorEastAsia"/>
          <w:color w:val="auto"/>
          <w:lang w:val="zh-TW" w:eastAsia="zh-TW"/>
        </w:rPr>
        <w:t>在给药后</w:t>
      </w:r>
      <w:r>
        <w:rPr>
          <w:rFonts w:eastAsiaTheme="minorEastAsia"/>
          <w:color w:val="auto"/>
        </w:rPr>
        <w:t>2</w:t>
      </w:r>
      <w:r>
        <w:rPr>
          <w:rFonts w:eastAsiaTheme="minorEastAsia"/>
          <w:color w:val="auto"/>
          <w:lang w:val="zh-TW" w:eastAsia="zh-TW"/>
        </w:rPr>
        <w:t>h内如有受试者去卫生间，研究</w:t>
      </w:r>
      <w:r>
        <w:rPr>
          <w:rFonts w:eastAsiaTheme="minorEastAsia"/>
          <w:color w:val="auto"/>
          <w:lang w:val="zh-TW"/>
        </w:rPr>
        <w:t>人员将</w:t>
      </w:r>
      <w:r>
        <w:rPr>
          <w:rFonts w:eastAsiaTheme="minorEastAsia"/>
          <w:color w:val="auto"/>
          <w:lang w:val="zh-TW" w:eastAsia="zh-TW"/>
        </w:rPr>
        <w:t>陪同前往，防止</w:t>
      </w:r>
      <w:r>
        <w:rPr>
          <w:rFonts w:eastAsiaTheme="minorEastAsia"/>
          <w:color w:val="auto"/>
          <w:lang w:val="zh-TW"/>
        </w:rPr>
        <w:t>受试者将药品</w:t>
      </w:r>
      <w:r>
        <w:rPr>
          <w:rFonts w:eastAsiaTheme="minorEastAsia"/>
          <w:color w:val="auto"/>
          <w:lang w:val="zh-TW" w:eastAsia="zh-TW"/>
        </w:rPr>
        <w:t>吐出，尽可能预防受试者发生呕吐。</w:t>
      </w:r>
    </w:p>
    <w:p>
      <w:pPr>
        <w:pStyle w:val="50"/>
        <w:autoSpaceDE w:val="0"/>
        <w:autoSpaceDN w:val="0"/>
        <w:adjustRightInd w:val="0"/>
        <w:spacing w:line="240" w:lineRule="auto"/>
        <w:ind w:left="0" w:firstLine="480" w:firstLineChars="200"/>
        <w:contextualSpacing/>
        <w:rPr>
          <w:rFonts w:eastAsiaTheme="minorEastAsia"/>
          <w:color w:val="auto"/>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226" w:name="_Toc460952501"/>
      <w:bookmarkStart w:id="227" w:name="_Toc460500123"/>
      <w:bookmarkStart w:id="228" w:name="_Toc10427"/>
      <w:bookmarkStart w:id="229" w:name="_Toc521584581"/>
      <w:bookmarkStart w:id="230" w:name="_Toc29200"/>
      <w:r>
        <w:rPr>
          <w:rFonts w:hint="eastAsia" w:ascii="Times New Roman" w:hAnsi="Times New Roman" w:eastAsiaTheme="minorEastAsia"/>
          <w:color w:val="auto"/>
          <w:sz w:val="24"/>
          <w:szCs w:val="24"/>
          <w:lang w:val="en-US" w:eastAsia="zh-CN"/>
        </w:rPr>
        <w:t xml:space="preserve">5     </w:t>
      </w:r>
      <w:r>
        <w:rPr>
          <w:rFonts w:ascii="Times New Roman" w:hAnsi="Times New Roman" w:eastAsiaTheme="minorEastAsia"/>
          <w:color w:val="auto"/>
          <w:sz w:val="24"/>
          <w:szCs w:val="24"/>
          <w:lang w:val="zh-TW" w:eastAsia="zh-TW"/>
        </w:rPr>
        <w:t>样品采集、运输与储存</w:t>
      </w:r>
      <w:bookmarkEnd w:id="226"/>
      <w:bookmarkEnd w:id="227"/>
      <w:bookmarkEnd w:id="228"/>
      <w:bookmarkEnd w:id="229"/>
      <w:bookmarkEnd w:id="230"/>
    </w:p>
    <w:p>
      <w:pPr>
        <w:pStyle w:val="4"/>
        <w:keepNext w:val="0"/>
        <w:keepLines w:val="0"/>
        <w:widowControl w:val="0"/>
        <w:numPr>
          <w:ilvl w:val="1"/>
          <w:numId w:val="24"/>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31" w:name="_Toc521584582"/>
      <w:bookmarkStart w:id="232" w:name="_Toc19565"/>
      <w:bookmarkStart w:id="233" w:name="_Toc460952502"/>
      <w:bookmarkStart w:id="234" w:name="_Toc446673713"/>
      <w:bookmarkStart w:id="235" w:name="_Toc446058158"/>
      <w:r>
        <w:rPr>
          <w:rFonts w:ascii="Times New Roman" w:hAnsi="Times New Roman" w:eastAsiaTheme="minorEastAsia"/>
          <w:sz w:val="24"/>
          <w:szCs w:val="24"/>
          <w:lang w:val="zh-TW" w:eastAsia="zh-TW"/>
        </w:rPr>
        <w:t>生物样品的种类及确定依据</w:t>
      </w:r>
      <w:bookmarkEnd w:id="231"/>
      <w:bookmarkEnd w:id="232"/>
      <w:bookmarkEnd w:id="233"/>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由于</w:t>
      </w:r>
      <w:r>
        <w:rPr>
          <w:rFonts w:hint="eastAsia" w:eastAsiaTheme="minorEastAsia"/>
          <w:color w:val="auto"/>
        </w:rPr>
        <w:t>乙胺丁醇</w:t>
      </w:r>
      <w:r>
        <w:rPr>
          <w:rFonts w:eastAsiaTheme="minorEastAsia"/>
          <w:color w:val="auto"/>
          <w:lang w:val="zh-TW" w:eastAsia="zh-TW"/>
        </w:rPr>
        <w:t>进入血液循环后产生全身治疗效果，</w:t>
      </w:r>
      <w:r>
        <w:rPr>
          <w:rFonts w:hint="eastAsia" w:eastAsiaTheme="minorEastAsia"/>
          <w:color w:val="auto"/>
          <w:lang w:val="zh-TW"/>
        </w:rPr>
        <w:t>故</w:t>
      </w:r>
      <w:r>
        <w:rPr>
          <w:rFonts w:eastAsiaTheme="minorEastAsia"/>
          <w:color w:val="auto"/>
          <w:lang w:val="zh-TW" w:eastAsia="zh-TW"/>
        </w:rPr>
        <w:t>作用部位的药物浓度和血液中药物浓度存在一定的比例关系，因此可以通过测定血液中的药物浓度来获得反映药物体内吸收程度和速度的主要药动学参数，预测药物制剂的临床治疗效果，以评价制剂的质量。本试验拟采集受试者的</w:t>
      </w:r>
      <w:r>
        <w:rPr>
          <w:rFonts w:eastAsiaTheme="minorEastAsia"/>
          <w:color w:val="auto"/>
          <w:lang w:val="zh-TW"/>
        </w:rPr>
        <w:t>上肢静脉</w:t>
      </w:r>
      <w:r>
        <w:rPr>
          <w:rFonts w:eastAsiaTheme="minorEastAsia"/>
          <w:color w:val="auto"/>
          <w:lang w:val="zh-TW" w:eastAsia="zh-TW"/>
        </w:rPr>
        <w:t>全血，分离血浆用于药物浓度测定，计算药动学参数，进而评价受试制剂与参比制剂间的相对生物利用度。</w:t>
      </w:r>
    </w:p>
    <w:p>
      <w:pPr>
        <w:pStyle w:val="4"/>
        <w:keepNext w:val="0"/>
        <w:keepLines w:val="0"/>
        <w:widowControl w:val="0"/>
        <w:numPr>
          <w:ilvl w:val="1"/>
          <w:numId w:val="24"/>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36" w:name="_Toc460952503"/>
      <w:bookmarkStart w:id="237" w:name="_Toc521584583"/>
      <w:bookmarkStart w:id="238" w:name="_Toc6748"/>
      <w:r>
        <w:rPr>
          <w:rFonts w:ascii="Times New Roman" w:hAnsi="Times New Roman" w:eastAsiaTheme="minorEastAsia"/>
          <w:sz w:val="24"/>
          <w:szCs w:val="24"/>
          <w:lang w:val="zh-TW" w:eastAsia="zh-TW"/>
        </w:rPr>
        <w:t>样品采集拟采用样品管的抗凝剂</w:t>
      </w:r>
      <w:bookmarkEnd w:id="236"/>
      <w:bookmarkEnd w:id="237"/>
      <w:bookmarkEnd w:id="238"/>
    </w:p>
    <w:p>
      <w:pPr>
        <w:pStyle w:val="50"/>
        <w:autoSpaceDE w:val="0"/>
        <w:autoSpaceDN w:val="0"/>
        <w:adjustRightInd w:val="0"/>
        <w:ind w:left="0" w:firstLine="480" w:firstLineChars="200"/>
        <w:contextualSpacing/>
        <w:rPr>
          <w:rFonts w:eastAsia="宋体"/>
          <w:color w:val="auto"/>
          <w:lang w:val="zh-TW"/>
        </w:rPr>
      </w:pPr>
      <w:r>
        <w:rPr>
          <w:rFonts w:eastAsia="宋体"/>
          <w:color w:val="auto"/>
        </w:rPr>
        <w:t>根据生物样品分析机构前期方法学研究，本试验</w:t>
      </w:r>
      <w:r>
        <w:rPr>
          <w:rFonts w:eastAsia="宋体"/>
          <w:color w:val="auto"/>
          <w:lang w:val="zh-TW" w:eastAsia="zh-TW"/>
        </w:rPr>
        <w:t>使用</w:t>
      </w:r>
      <w:r>
        <w:rPr>
          <w:rFonts w:eastAsia="宋体"/>
          <w:color w:val="auto"/>
          <w:lang w:val="zh-TW"/>
        </w:rPr>
        <w:t>含EDTA-K</w:t>
      </w:r>
      <w:r>
        <w:rPr>
          <w:rFonts w:eastAsia="宋体"/>
          <w:color w:val="auto"/>
          <w:vertAlign w:val="subscript"/>
          <w:lang w:val="zh-TW"/>
        </w:rPr>
        <w:t>2</w:t>
      </w:r>
      <w:r>
        <w:rPr>
          <w:rFonts w:eastAsia="宋体"/>
          <w:color w:val="auto"/>
          <w:lang w:val="zh-TW"/>
        </w:rPr>
        <w:t>抗凝</w:t>
      </w:r>
      <w:r>
        <w:rPr>
          <w:rFonts w:eastAsia="宋体"/>
          <w:color w:val="auto"/>
          <w:lang w:val="zh-TW" w:eastAsia="zh-TW"/>
        </w:rPr>
        <w:t>剂</w:t>
      </w:r>
      <w:r>
        <w:rPr>
          <w:rFonts w:eastAsia="宋体"/>
          <w:color w:val="auto"/>
          <w:lang w:val="zh-TW"/>
        </w:rPr>
        <w:t>的</w:t>
      </w:r>
      <w:r>
        <w:rPr>
          <w:rFonts w:eastAsia="宋体"/>
          <w:color w:val="auto"/>
          <w:lang w:val="zh-TW" w:eastAsia="zh-TW"/>
        </w:rPr>
        <w:t>真空采血管采集受试者的</w:t>
      </w:r>
      <w:r>
        <w:rPr>
          <w:rFonts w:eastAsia="宋体"/>
          <w:color w:val="auto"/>
          <w:lang w:val="zh-TW"/>
        </w:rPr>
        <w:t>上肢</w:t>
      </w:r>
      <w:r>
        <w:rPr>
          <w:rFonts w:eastAsia="宋体"/>
          <w:color w:val="auto"/>
          <w:lang w:val="zh-TW" w:eastAsia="zh-TW"/>
        </w:rPr>
        <w:t>静脉全血。</w:t>
      </w:r>
    </w:p>
    <w:p>
      <w:pPr>
        <w:pStyle w:val="4"/>
        <w:keepNext w:val="0"/>
        <w:keepLines w:val="0"/>
        <w:widowControl w:val="0"/>
        <w:numPr>
          <w:ilvl w:val="1"/>
          <w:numId w:val="24"/>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39" w:name="_Toc460952504"/>
      <w:bookmarkStart w:id="240" w:name="_Toc8681"/>
      <w:bookmarkStart w:id="241" w:name="_Toc521584584"/>
      <w:r>
        <w:rPr>
          <w:rFonts w:ascii="Times New Roman" w:hAnsi="Times New Roman" w:eastAsiaTheme="minorEastAsia"/>
          <w:sz w:val="24"/>
          <w:szCs w:val="24"/>
          <w:lang w:val="zh-TW" w:eastAsia="zh-CN"/>
        </w:rPr>
        <w:t>采血管</w:t>
      </w:r>
      <w:r>
        <w:rPr>
          <w:rFonts w:ascii="Times New Roman" w:hAnsi="Times New Roman" w:eastAsiaTheme="minorEastAsia"/>
          <w:sz w:val="24"/>
          <w:szCs w:val="24"/>
          <w:lang w:val="zh-TW" w:eastAsia="zh-TW"/>
        </w:rPr>
        <w:t>及测试管的标</w:t>
      </w:r>
      <w:bookmarkEnd w:id="239"/>
      <w:r>
        <w:rPr>
          <w:rFonts w:ascii="Times New Roman" w:hAnsi="Times New Roman" w:eastAsiaTheme="minorEastAsia"/>
          <w:sz w:val="24"/>
          <w:szCs w:val="24"/>
          <w:lang w:val="zh-TW" w:eastAsia="zh-CN"/>
        </w:rPr>
        <w:t>签</w:t>
      </w:r>
      <w:r>
        <w:rPr>
          <w:rFonts w:ascii="Times New Roman" w:hAnsi="Times New Roman" w:eastAsiaTheme="minorEastAsia"/>
          <w:sz w:val="24"/>
          <w:szCs w:val="24"/>
          <w:lang w:val="zh-TW" w:eastAsia="zh-TW"/>
        </w:rPr>
        <w:t>式样</w:t>
      </w:r>
      <w:bookmarkEnd w:id="240"/>
      <w:bookmarkEnd w:id="241"/>
    </w:p>
    <w:p>
      <w:pPr>
        <w:widowControl w:val="0"/>
        <w:adjustRightInd w:val="0"/>
        <w:ind w:hanging="300"/>
        <w:contextualSpacing/>
        <w:rPr>
          <w:rFonts w:eastAsiaTheme="minorEastAsia"/>
          <w:u w:color="000000"/>
          <w:lang w:val="zh-TW" w:eastAsia="zh-TW"/>
        </w:rPr>
      </w:pPr>
      <w:r>
        <w:rPr>
          <w:rFonts w:eastAsiaTheme="minorEastAsia"/>
          <w:u w:color="000000"/>
          <w:lang w:val="zh-TW" w:eastAsia="zh-TW"/>
        </w:rPr>
        <w:t>在血液样品采集前对采血管及用于血浆样品</w:t>
      </w:r>
      <w:r>
        <w:rPr>
          <w:rFonts w:eastAsiaTheme="minorEastAsia"/>
          <w:u w:color="000000"/>
          <w:lang w:val="zh-TW" w:eastAsia="zh-CN"/>
        </w:rPr>
        <w:t>测试与备份的冻存管</w:t>
      </w:r>
      <w:r>
        <w:rPr>
          <w:rFonts w:eastAsiaTheme="minorEastAsia"/>
          <w:u w:color="000000"/>
          <w:lang w:val="zh-TW" w:eastAsia="zh-TW"/>
        </w:rPr>
        <w:t>进行统一编号，</w:t>
      </w:r>
    </w:p>
    <w:p>
      <w:pPr>
        <w:widowControl w:val="0"/>
        <w:adjustRightInd w:val="0"/>
        <w:contextualSpacing/>
        <w:rPr>
          <w:rFonts w:eastAsiaTheme="minorEastAsia"/>
          <w:kern w:val="2"/>
          <w:lang w:eastAsia="zh-CN"/>
        </w:rPr>
      </w:pPr>
      <w:r>
        <w:rPr>
          <w:rFonts w:eastAsiaTheme="minorEastAsia"/>
          <w:u w:color="000000"/>
          <w:lang w:val="zh-TW" w:eastAsia="zh-TW"/>
        </w:rPr>
        <w:t>并粘贴专用标签。</w:t>
      </w:r>
      <w:r>
        <w:rPr>
          <w:rFonts w:hint="eastAsia" w:eastAsiaTheme="minorEastAsia"/>
          <w:u w:color="000000"/>
          <w:lang w:eastAsia="zh-CN"/>
        </w:rPr>
        <w:t>标签式样具体以检测公司出具的“生物样本采集处理手册”为准。</w:t>
      </w:r>
    </w:p>
    <w:p>
      <w:pPr>
        <w:pStyle w:val="4"/>
        <w:keepNext w:val="0"/>
        <w:keepLines w:val="0"/>
        <w:widowControl w:val="0"/>
        <w:numPr>
          <w:ilvl w:val="1"/>
          <w:numId w:val="24"/>
        </w:numPr>
        <w:autoSpaceDE w:val="0"/>
        <w:autoSpaceDN w:val="0"/>
        <w:adjustRightInd w:val="0"/>
        <w:spacing w:before="0" w:after="0" w:line="360" w:lineRule="auto"/>
        <w:ind w:left="0" w:firstLine="0"/>
        <w:contextualSpacing/>
        <w:rPr>
          <w:rFonts w:ascii="Times New Roman" w:hAnsi="Times New Roman" w:eastAsiaTheme="minorEastAsia"/>
          <w:sz w:val="24"/>
          <w:szCs w:val="24"/>
          <w:lang w:val="zh-TW" w:eastAsia="zh-TW"/>
        </w:rPr>
      </w:pPr>
      <w:bookmarkStart w:id="242" w:name="_Toc460952505"/>
      <w:bookmarkStart w:id="243" w:name="_Toc24035"/>
      <w:bookmarkStart w:id="244" w:name="_Toc521584585"/>
      <w:r>
        <w:rPr>
          <w:rFonts w:ascii="Times New Roman" w:hAnsi="Times New Roman" w:eastAsiaTheme="minorEastAsia"/>
          <w:sz w:val="24"/>
          <w:szCs w:val="24"/>
          <w:lang w:val="zh-TW" w:eastAsia="zh-TW"/>
        </w:rPr>
        <w:t>样品采集后的预处理方法及运输、保存</w:t>
      </w:r>
      <w:bookmarkEnd w:id="234"/>
      <w:bookmarkEnd w:id="235"/>
      <w:r>
        <w:rPr>
          <w:rFonts w:ascii="Times New Roman" w:hAnsi="Times New Roman" w:eastAsiaTheme="minorEastAsia"/>
          <w:sz w:val="24"/>
          <w:szCs w:val="24"/>
          <w:lang w:val="zh-TW" w:eastAsia="zh-TW"/>
        </w:rPr>
        <w:t>条件</w:t>
      </w:r>
      <w:bookmarkEnd w:id="242"/>
      <w:bookmarkEnd w:id="243"/>
      <w:bookmarkEnd w:id="244"/>
    </w:p>
    <w:p>
      <w:pPr>
        <w:widowControl w:val="0"/>
        <w:autoSpaceDE w:val="0"/>
        <w:autoSpaceDN w:val="0"/>
        <w:adjustRightInd w:val="0"/>
        <w:ind w:left="0" w:firstLine="480" w:firstLineChars="200"/>
        <w:contextualSpacing/>
        <w:rPr>
          <w:rFonts w:eastAsiaTheme="minorEastAsia"/>
          <w:color w:val="000000"/>
          <w:lang w:val="zh-TW" w:eastAsia="zh-TW"/>
        </w:rPr>
      </w:pPr>
      <w:r>
        <w:rPr>
          <w:rFonts w:hint="eastAsia" w:eastAsiaTheme="minorEastAsia"/>
          <w:color w:val="000000"/>
          <w:lang w:val="zh-TW" w:eastAsia="zh-TW"/>
        </w:rPr>
        <w:t>血样采集于事先已经贴好标签的含</w:t>
      </w:r>
      <w:r>
        <w:rPr>
          <w:rFonts w:eastAsiaTheme="minorEastAsia"/>
          <w:color w:val="000000"/>
          <w:lang w:val="zh-TW" w:eastAsia="zh-TW"/>
        </w:rPr>
        <w:t>EDTA-K</w:t>
      </w:r>
      <w:r>
        <w:rPr>
          <w:rFonts w:eastAsiaTheme="minorEastAsia"/>
          <w:color w:val="000000"/>
          <w:vertAlign w:val="subscript"/>
          <w:lang w:val="zh-TW" w:eastAsia="zh-TW"/>
        </w:rPr>
        <w:t>2</w:t>
      </w:r>
      <w:r>
        <w:rPr>
          <w:rFonts w:hint="eastAsia" w:eastAsiaTheme="minorEastAsia"/>
          <w:color w:val="000000"/>
          <w:lang w:val="zh-TW" w:eastAsia="zh-TW"/>
        </w:rPr>
        <w:t>抗凝剂的试管内，</w:t>
      </w:r>
      <w:r>
        <w:rPr>
          <w:rFonts w:hint="eastAsia" w:eastAsiaTheme="minorEastAsia"/>
          <w:color w:val="000000"/>
          <w:lang w:eastAsia="zh-CN"/>
        </w:rPr>
        <w:t>每个血样应在采集</w:t>
      </w:r>
      <w:r>
        <w:rPr>
          <w:rFonts w:hint="eastAsia" w:eastAsiaTheme="minorEastAsia"/>
          <w:color w:val="000000"/>
          <w:lang w:val="zh-TW" w:eastAsia="zh-TW"/>
        </w:rPr>
        <w:t>后</w:t>
      </w:r>
      <w:r>
        <w:rPr>
          <w:rFonts w:hint="eastAsia" w:eastAsiaTheme="minorEastAsia"/>
          <w:color w:val="000000"/>
          <w:lang w:eastAsia="zh-CN"/>
        </w:rPr>
        <w:t>的</w:t>
      </w:r>
      <w:r>
        <w:rPr>
          <w:rFonts w:hint="eastAsia" w:eastAsiaTheme="minorEastAsia"/>
          <w:color w:val="000000"/>
          <w:lang w:val="zh-TW" w:eastAsia="zh-TW"/>
        </w:rPr>
        <w:t>1h内开始进行离心处理，2-8℃、</w:t>
      </w:r>
      <w:r>
        <w:rPr>
          <w:rFonts w:eastAsiaTheme="minorEastAsia"/>
          <w:color w:val="000000"/>
          <w:lang w:val="zh-TW" w:eastAsia="zh-TW"/>
        </w:rPr>
        <w:t xml:space="preserve">1700 </w:t>
      </w:r>
      <w:r>
        <w:rPr>
          <w:rFonts w:hint="eastAsia" w:eastAsiaTheme="minorEastAsia"/>
          <w:color w:val="000000"/>
          <w:lang w:val="en-US" w:eastAsia="zh-CN"/>
        </w:rPr>
        <w:t>×</w:t>
      </w:r>
      <w:r>
        <w:rPr>
          <w:rFonts w:eastAsiaTheme="minorEastAsia"/>
          <w:color w:val="000000"/>
          <w:lang w:val="zh-TW" w:eastAsia="zh-TW"/>
        </w:rPr>
        <w:t>g</w:t>
      </w:r>
      <w:r>
        <w:rPr>
          <w:rFonts w:hint="eastAsia" w:eastAsiaTheme="minorEastAsia"/>
          <w:color w:val="000000"/>
          <w:lang w:val="zh-TW" w:eastAsia="zh-TW"/>
        </w:rPr>
        <w:t>离心</w:t>
      </w:r>
      <w:r>
        <w:rPr>
          <w:rFonts w:eastAsiaTheme="minorEastAsia"/>
          <w:color w:val="000000"/>
          <w:lang w:val="zh-TW" w:eastAsia="zh-TW"/>
        </w:rPr>
        <w:t>10min</w:t>
      </w:r>
      <w:r>
        <w:rPr>
          <w:rFonts w:hint="eastAsia" w:eastAsiaTheme="minorEastAsia"/>
          <w:color w:val="000000"/>
          <w:lang w:val="zh-TW" w:eastAsia="zh-TW"/>
        </w:rPr>
        <w:t>，分离血浆，取离心后的上层血浆置于</w:t>
      </w:r>
      <w:r>
        <w:rPr>
          <w:rFonts w:eastAsiaTheme="minorEastAsia"/>
          <w:color w:val="000000"/>
          <w:lang w:val="zh-TW" w:eastAsia="zh-TW"/>
        </w:rPr>
        <w:t>2</w:t>
      </w:r>
      <w:r>
        <w:rPr>
          <w:rFonts w:hint="eastAsia" w:eastAsiaTheme="minorEastAsia"/>
          <w:color w:val="000000"/>
          <w:lang w:val="zh-TW" w:eastAsia="zh-TW"/>
        </w:rPr>
        <w:t>个</w:t>
      </w:r>
      <w:r>
        <w:rPr>
          <w:rFonts w:eastAsiaTheme="minorEastAsia"/>
          <w:color w:val="000000"/>
          <w:lang w:val="zh-TW" w:eastAsia="zh-TW"/>
        </w:rPr>
        <w:t>2 mL</w:t>
      </w:r>
      <w:r>
        <w:rPr>
          <w:rFonts w:hint="eastAsia" w:eastAsiaTheme="minorEastAsia"/>
          <w:color w:val="000000"/>
          <w:lang w:val="zh-TW" w:eastAsia="zh-TW"/>
        </w:rPr>
        <w:t>冻存管中（取</w:t>
      </w:r>
      <w:r>
        <w:rPr>
          <w:rFonts w:eastAsiaTheme="minorEastAsia"/>
          <w:color w:val="000000"/>
          <w:lang w:val="zh-TW" w:eastAsia="zh-TW"/>
        </w:rPr>
        <w:t>0.6-0.8mL</w:t>
      </w:r>
      <w:r>
        <w:rPr>
          <w:rFonts w:hint="eastAsia" w:eastAsiaTheme="minorEastAsia"/>
          <w:color w:val="000000"/>
          <w:lang w:val="zh-TW" w:eastAsia="zh-TW"/>
        </w:rPr>
        <w:t>血浆置于存放待测样本的冻存管中，其余血浆置于存放备份样本的冻存管中），操作人员应在离心结束后</w:t>
      </w:r>
      <w:r>
        <w:rPr>
          <w:rFonts w:eastAsiaTheme="minorEastAsia"/>
          <w:color w:val="000000"/>
          <w:lang w:val="zh-TW" w:eastAsia="zh-TW"/>
        </w:rPr>
        <w:t>60min</w:t>
      </w:r>
      <w:r>
        <w:rPr>
          <w:rFonts w:hint="eastAsia" w:eastAsiaTheme="minorEastAsia"/>
          <w:color w:val="000000"/>
          <w:lang w:val="zh-TW" w:eastAsia="zh-TW"/>
        </w:rPr>
        <w:t>之内将血浆样本</w:t>
      </w:r>
      <w:r>
        <w:rPr>
          <w:rFonts w:hint="eastAsia" w:eastAsiaTheme="minorEastAsia"/>
          <w:color w:val="000000"/>
          <w:lang w:eastAsia="zh-CN"/>
        </w:rPr>
        <w:t>暂存至</w:t>
      </w:r>
      <w:r>
        <w:rPr>
          <w:rFonts w:eastAsiaTheme="minorEastAsia"/>
          <w:color w:val="000000"/>
          <w:lang w:val="zh-TW" w:eastAsia="zh-TW"/>
        </w:rPr>
        <w:t>-20</w:t>
      </w:r>
      <w:r>
        <w:rPr>
          <w:rFonts w:hint="eastAsia" w:eastAsiaTheme="minorEastAsia"/>
          <w:color w:val="000000"/>
          <w:lang w:val="zh-TW" w:eastAsia="zh-TW"/>
        </w:rPr>
        <w:t>℃</w:t>
      </w:r>
      <w:r>
        <w:rPr>
          <w:rFonts w:hint="eastAsia" w:eastAsiaTheme="minorEastAsia"/>
          <w:color w:val="000000"/>
          <w:lang w:val="en-US" w:eastAsia="zh-CN"/>
        </w:rPr>
        <w:t>或以下</w:t>
      </w:r>
      <w:r>
        <w:rPr>
          <w:rFonts w:hint="eastAsia" w:eastAsiaTheme="minorEastAsia"/>
          <w:color w:val="000000"/>
          <w:lang w:val="zh-TW" w:eastAsia="zh-TW"/>
        </w:rPr>
        <w:t>冰箱中</w:t>
      </w:r>
      <w:r>
        <w:rPr>
          <w:rFonts w:hint="eastAsia" w:eastAsiaTheme="minorEastAsia"/>
          <w:color w:val="000000"/>
          <w:lang w:val="zh-TW" w:eastAsia="zh-CN"/>
        </w:rPr>
        <w:t>，</w:t>
      </w:r>
      <w:r>
        <w:rPr>
          <w:rFonts w:hint="eastAsia" w:eastAsiaTheme="minorEastAsia"/>
          <w:color w:val="000000"/>
          <w:lang w:val="en-US" w:eastAsia="zh-CN"/>
        </w:rPr>
        <w:t>并</w:t>
      </w:r>
      <w:r>
        <w:rPr>
          <w:rFonts w:hint="eastAsia" w:eastAsiaTheme="minorEastAsia"/>
          <w:color w:val="000000"/>
          <w:lang w:val="zh-TW" w:eastAsia="zh-TW"/>
        </w:rPr>
        <w:t>于24小时之内将样本转移至</w:t>
      </w:r>
      <w:r>
        <w:rPr>
          <w:rFonts w:eastAsiaTheme="minorEastAsia"/>
          <w:color w:val="000000"/>
          <w:lang w:val="zh-TW" w:eastAsia="zh-TW"/>
        </w:rPr>
        <w:t>-60℃~-90℃</w:t>
      </w:r>
      <w:r>
        <w:rPr>
          <w:rFonts w:hint="eastAsia" w:eastAsiaTheme="minorEastAsia"/>
          <w:color w:val="000000"/>
          <w:lang w:val="zh-TW" w:eastAsia="zh-TW"/>
        </w:rPr>
        <w:t>冰箱中储存。</w:t>
      </w:r>
      <w:r>
        <w:rPr>
          <w:rFonts w:hint="eastAsia"/>
          <w:lang w:eastAsia="zh-CN"/>
        </w:rPr>
        <w:t>受试者采血、血浆分装均在室温白光条件下操作。</w:t>
      </w:r>
    </w:p>
    <w:p>
      <w:pPr>
        <w:widowControl w:val="0"/>
        <w:autoSpaceDE w:val="0"/>
        <w:autoSpaceDN w:val="0"/>
        <w:adjustRightInd w:val="0"/>
        <w:ind w:left="0" w:firstLine="480" w:firstLineChars="200"/>
        <w:contextualSpacing/>
        <w:rPr>
          <w:rFonts w:eastAsiaTheme="minorEastAsia"/>
          <w:color w:val="000000"/>
          <w:lang w:eastAsia="zh-CN"/>
        </w:rPr>
      </w:pPr>
      <w:r>
        <w:rPr>
          <w:rFonts w:hint="eastAsia" w:eastAsiaTheme="minorEastAsia"/>
          <w:color w:val="000000"/>
          <w:lang w:val="zh-TW" w:eastAsia="zh-TW"/>
        </w:rPr>
        <w:t>第二周期试验结束后</w:t>
      </w:r>
      <w:r>
        <w:rPr>
          <w:rFonts w:hint="eastAsia" w:eastAsiaTheme="minorEastAsia"/>
          <w:color w:val="000000"/>
          <w:lang w:eastAsia="zh-CN"/>
        </w:rPr>
        <w:t>血浆样本</w:t>
      </w:r>
      <w:r>
        <w:rPr>
          <w:rFonts w:hint="eastAsia" w:eastAsiaTheme="minorEastAsia"/>
          <w:color w:val="000000"/>
          <w:lang w:val="zh-TW" w:eastAsia="zh-TW"/>
        </w:rPr>
        <w:t>由专业冷链物流公司干冰寄送至样本检测单位，运输过程须保证有足量干冰并配置温度监控装置</w:t>
      </w:r>
      <w:r>
        <w:rPr>
          <w:rFonts w:eastAsiaTheme="minorEastAsia"/>
          <w:color w:val="000000"/>
          <w:lang w:val="zh-TW" w:eastAsia="zh-TW"/>
        </w:rPr>
        <w:t>。</w:t>
      </w:r>
      <w:r>
        <w:rPr>
          <w:rFonts w:eastAsiaTheme="minorEastAsia"/>
          <w:color w:val="000000"/>
          <w:lang w:eastAsia="zh-CN"/>
        </w:rPr>
        <w:t>检测单位接收血浆样本后应清点数量，记录样品状态，并及时将样本储存于-60℃~-90℃以下冰箱冷冻保存待测。</w:t>
      </w:r>
    </w:p>
    <w:p>
      <w:pPr>
        <w:widowControl w:val="0"/>
        <w:autoSpaceDE w:val="0"/>
        <w:autoSpaceDN w:val="0"/>
        <w:adjustRightInd w:val="0"/>
        <w:ind w:left="0" w:firstLine="480" w:firstLineChars="200"/>
        <w:contextualSpacing/>
        <w:rPr>
          <w:color w:val="000000"/>
          <w:lang w:eastAsia="zh-CN"/>
        </w:rPr>
      </w:pPr>
      <w:r>
        <w:rPr>
          <w:rFonts w:hint="eastAsia"/>
          <w:color w:val="000000"/>
          <w:lang w:eastAsia="zh-CN"/>
        </w:rPr>
        <w:t>具体参见检测公司提供的“生物样本采集处理手册”。</w:t>
      </w:r>
    </w:p>
    <w:p>
      <w:pPr>
        <w:widowControl w:val="0"/>
        <w:autoSpaceDE w:val="0"/>
        <w:autoSpaceDN w:val="0"/>
        <w:adjustRightInd w:val="0"/>
        <w:spacing w:line="240" w:lineRule="auto"/>
        <w:ind w:left="0" w:firstLine="480" w:firstLineChars="200"/>
        <w:contextualSpacing/>
        <w:rPr>
          <w:color w:val="000000"/>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245" w:name="_Toc32255"/>
      <w:bookmarkStart w:id="246" w:name="_Toc20394"/>
      <w:bookmarkStart w:id="247" w:name="_Toc460952506"/>
      <w:bookmarkStart w:id="248" w:name="_Toc460500127"/>
      <w:bookmarkStart w:id="249" w:name="_Toc450833041"/>
      <w:bookmarkStart w:id="250" w:name="_Toc521584586"/>
      <w:r>
        <w:rPr>
          <w:rFonts w:hint="eastAsia" w:ascii="Times New Roman" w:hAnsi="Times New Roman" w:eastAsiaTheme="minorEastAsia"/>
          <w:color w:val="auto"/>
          <w:sz w:val="24"/>
          <w:szCs w:val="24"/>
          <w:lang w:val="en-US" w:eastAsia="zh-CN"/>
        </w:rPr>
        <w:t xml:space="preserve">6      </w:t>
      </w:r>
      <w:r>
        <w:rPr>
          <w:rFonts w:ascii="Times New Roman" w:hAnsi="Times New Roman" w:eastAsiaTheme="minorEastAsia"/>
          <w:color w:val="auto"/>
          <w:sz w:val="24"/>
          <w:szCs w:val="24"/>
          <w:lang w:val="zh-TW" w:eastAsia="zh-TW"/>
        </w:rPr>
        <w:t>药物浓度检测</w:t>
      </w:r>
      <w:bookmarkEnd w:id="245"/>
      <w:bookmarkEnd w:id="246"/>
      <w:bookmarkEnd w:id="247"/>
      <w:bookmarkEnd w:id="248"/>
      <w:bookmarkEnd w:id="249"/>
      <w:bookmarkEnd w:id="250"/>
    </w:p>
    <w:p>
      <w:pPr>
        <w:pStyle w:val="4"/>
        <w:keepNext w:val="0"/>
        <w:keepLines w:val="0"/>
        <w:widowControl w:val="0"/>
        <w:numPr>
          <w:ilvl w:val="1"/>
          <w:numId w:val="25"/>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251" w:name="_Toc6157"/>
      <w:bookmarkStart w:id="252" w:name="_Toc460952507"/>
      <w:bookmarkStart w:id="253" w:name="_Toc460500128"/>
      <w:bookmarkStart w:id="254" w:name="_Toc450833042"/>
      <w:bookmarkStart w:id="255" w:name="_Toc521584587"/>
      <w:bookmarkStart w:id="256" w:name="_Toc32193"/>
      <w:r>
        <w:rPr>
          <w:rFonts w:ascii="Times New Roman" w:hAnsi="Times New Roman" w:eastAsiaTheme="minorEastAsia"/>
          <w:sz w:val="24"/>
          <w:szCs w:val="24"/>
          <w:lang w:val="zh-TW" w:eastAsia="zh-TW"/>
        </w:rPr>
        <w:t>样品采集时间点设置及拟采集样本量</w:t>
      </w:r>
      <w:bookmarkEnd w:id="251"/>
      <w:bookmarkEnd w:id="252"/>
      <w:bookmarkEnd w:id="253"/>
      <w:bookmarkEnd w:id="254"/>
      <w:bookmarkEnd w:id="255"/>
      <w:bookmarkEnd w:id="256"/>
    </w:p>
    <w:p>
      <w:pPr>
        <w:widowControl w:val="0"/>
        <w:autoSpaceDE w:val="0"/>
        <w:autoSpaceDN w:val="0"/>
        <w:adjustRightInd w:val="0"/>
        <w:ind w:left="0" w:firstLine="480" w:firstLineChars="200"/>
        <w:contextualSpacing/>
        <w:rPr>
          <w:rFonts w:eastAsiaTheme="minorEastAsia"/>
          <w:lang w:val="zh-TW" w:eastAsia="zh-CN"/>
        </w:rPr>
      </w:pPr>
      <w:r>
        <w:rPr>
          <w:rFonts w:eastAsiaTheme="minorEastAsia"/>
          <w:lang w:val="zh-TW" w:eastAsia="zh-CN"/>
        </w:rPr>
        <w:t>根据</w:t>
      </w:r>
      <w:r>
        <w:rPr>
          <w:rFonts w:eastAsiaTheme="minorEastAsia"/>
          <w:lang w:val="zh-TW" w:eastAsia="zh-TW"/>
        </w:rPr>
        <w:t>《以药动学参数为终点评价指标的化学药物仿制药人体生物等效性研究技术指导原则》</w:t>
      </w:r>
      <w:r>
        <w:rPr>
          <w:rFonts w:eastAsiaTheme="minorEastAsia"/>
          <w:lang w:val="zh-TW" w:eastAsia="zh-CN"/>
        </w:rPr>
        <w:t>201</w:t>
      </w:r>
      <w:r>
        <w:rPr>
          <w:rFonts w:eastAsiaTheme="minorEastAsia"/>
          <w:lang w:eastAsia="zh-CN"/>
        </w:rPr>
        <w:t>6</w:t>
      </w:r>
      <w:r>
        <w:rPr>
          <w:rFonts w:eastAsiaTheme="minorEastAsia"/>
          <w:lang w:val="zh-TW" w:eastAsia="zh-CN"/>
        </w:rPr>
        <w:t>年版，建议每个周期采样</w:t>
      </w:r>
      <w:r>
        <w:rPr>
          <w:rFonts w:eastAsiaTheme="minorEastAsia"/>
          <w:lang w:eastAsia="zh-CN"/>
        </w:rPr>
        <w:t>12</w:t>
      </w:r>
      <w:r>
        <w:rPr>
          <w:rFonts w:eastAsiaTheme="minorEastAsia"/>
          <w:lang w:val="zh-TW" w:eastAsia="zh-CN"/>
        </w:rPr>
        <w:t>~</w:t>
      </w:r>
      <w:r>
        <w:rPr>
          <w:rFonts w:eastAsiaTheme="minorEastAsia"/>
          <w:lang w:eastAsia="zh-CN"/>
        </w:rPr>
        <w:t>18个采血点。</w:t>
      </w:r>
      <w:r>
        <w:rPr>
          <w:rFonts w:eastAsiaTheme="minorEastAsia"/>
          <w:lang w:val="zh-TW" w:eastAsia="zh-CN"/>
        </w:rPr>
        <w:t>采样持续时间应有3~5个消除半衰期，或持续到血药浓度为C</w:t>
      </w:r>
      <w:r>
        <w:rPr>
          <w:rFonts w:eastAsiaTheme="minorEastAsia"/>
          <w:vertAlign w:val="subscript"/>
          <w:lang w:val="zh-TW" w:eastAsia="zh-CN"/>
        </w:rPr>
        <w:t>max</w:t>
      </w:r>
      <w:r>
        <w:rPr>
          <w:rFonts w:eastAsiaTheme="minorEastAsia"/>
          <w:lang w:val="zh-TW" w:eastAsia="zh-CN"/>
        </w:rPr>
        <w:t>的1/10~1/20；</w:t>
      </w:r>
      <w:r>
        <w:rPr>
          <w:rFonts w:eastAsiaTheme="minorEastAsia"/>
          <w:lang w:val="zh-TW" w:eastAsia="zh-CN"/>
        </w:rPr>
        <w:fldChar w:fldCharType="begin"/>
      </w:r>
      <w:r>
        <w:rPr>
          <w:rFonts w:eastAsiaTheme="minorEastAsia"/>
          <w:lang w:val="zh-TW" w:eastAsia="zh-CN"/>
        </w:rPr>
        <w:instrText xml:space="preserve"> MERGEFIELD T受试制剂 </w:instrText>
      </w:r>
      <w:r>
        <w:rPr>
          <w:rFonts w:eastAsiaTheme="minorEastAsia"/>
          <w:lang w:val="zh-TW" w:eastAsia="zh-CN"/>
        </w:rPr>
        <w:fldChar w:fldCharType="separate"/>
      </w:r>
      <w:r>
        <w:rPr>
          <w:rFonts w:hint="eastAsia" w:eastAsiaTheme="minorEastAsia"/>
          <w:lang w:val="zh-TW" w:eastAsia="zh-CN"/>
        </w:rPr>
        <w:t>XXXXXX</w:t>
      </w:r>
      <w:r>
        <w:rPr>
          <w:rFonts w:eastAsiaTheme="minorEastAsia"/>
          <w:lang w:val="zh-TW" w:eastAsia="zh-CN"/>
        </w:rPr>
        <w:fldChar w:fldCharType="end"/>
      </w:r>
      <w:r>
        <w:rPr>
          <w:rFonts w:hint="eastAsia" w:eastAsiaTheme="minorEastAsia"/>
          <w:lang w:eastAsia="zh-CN"/>
        </w:rPr>
        <w:t>空腹</w:t>
      </w:r>
      <w:r>
        <w:rPr>
          <w:rFonts w:eastAsiaTheme="minorEastAsia"/>
          <w:lang w:val="zh-TW" w:eastAsia="zh-CN"/>
        </w:rPr>
        <w:t>给药后</w:t>
      </w:r>
      <w:r>
        <w:rPr>
          <w:rFonts w:hint="eastAsia" w:eastAsiaTheme="minorEastAsia"/>
          <w:lang w:eastAsia="zh-CN"/>
        </w:rPr>
        <w:t>2-4h</w:t>
      </w:r>
      <w:r>
        <w:rPr>
          <w:rFonts w:hint="eastAsia" w:eastAsiaTheme="minorEastAsia"/>
          <w:vertAlign w:val="superscript"/>
          <w:lang w:eastAsia="zh-CN"/>
        </w:rPr>
        <w:t>[2]</w:t>
      </w:r>
      <w:r>
        <w:rPr>
          <w:rFonts w:eastAsiaTheme="minorEastAsia"/>
          <w:lang w:val="zh-TW" w:eastAsia="zh-CN"/>
        </w:rPr>
        <w:t>达到血浆峰浓度，</w:t>
      </w:r>
      <w:r>
        <w:rPr>
          <w:rFonts w:hint="eastAsia" w:eastAsiaTheme="minorEastAsia"/>
          <w:lang w:eastAsia="zh-CN"/>
        </w:rPr>
        <w:t>餐后达峰时间略微延迟，</w:t>
      </w:r>
      <w:r>
        <w:rPr>
          <w:rFonts w:hint="eastAsia" w:eastAsiaTheme="minorEastAsia"/>
          <w:lang w:val="zh-TW" w:eastAsia="zh-CN"/>
        </w:rPr>
        <w:t>血浆消除</w:t>
      </w:r>
      <w:r>
        <w:rPr>
          <w:rFonts w:eastAsiaTheme="minorEastAsia"/>
          <w:lang w:val="zh-TW" w:eastAsia="zh-CN"/>
        </w:rPr>
        <w:t>半衰期</w:t>
      </w:r>
      <w:r>
        <w:rPr>
          <w:rFonts w:hint="eastAsia" w:eastAsiaTheme="minorEastAsia"/>
          <w:lang w:val="zh-TW" w:eastAsia="zh-CN"/>
        </w:rPr>
        <w:t>为</w:t>
      </w:r>
      <w:r>
        <w:rPr>
          <w:rFonts w:hint="eastAsia" w:eastAsiaTheme="minorEastAsia"/>
          <w:lang w:eastAsia="zh-CN"/>
        </w:rPr>
        <w:t>10</w:t>
      </w:r>
      <w:r>
        <w:rPr>
          <w:rFonts w:eastAsiaTheme="minorEastAsia"/>
          <w:lang w:val="zh-TW" w:eastAsia="zh-CN"/>
        </w:rPr>
        <w:t>h</w:t>
      </w:r>
      <w:r>
        <w:rPr>
          <w:rFonts w:hint="eastAsia" w:eastAsiaTheme="minorEastAsia"/>
          <w:vertAlign w:val="superscript"/>
          <w:lang w:eastAsia="zh-CN"/>
        </w:rPr>
        <w:t>[3]</w:t>
      </w:r>
      <w:r>
        <w:rPr>
          <w:rFonts w:eastAsiaTheme="minorEastAsia"/>
          <w:lang w:val="zh-TW" w:eastAsia="zh-CN"/>
        </w:rPr>
        <w:t>，根据以上参数计算</w:t>
      </w:r>
      <w:r>
        <w:rPr>
          <w:rFonts w:hint="eastAsia" w:eastAsiaTheme="minorEastAsia"/>
          <w:lang w:val="zh-TW" w:eastAsia="zh-CN"/>
        </w:rPr>
        <w:t>，</w:t>
      </w:r>
      <w:r>
        <w:rPr>
          <w:rFonts w:eastAsiaTheme="minorEastAsia"/>
          <w:lang w:val="zh-TW" w:eastAsia="zh-CN"/>
        </w:rPr>
        <w:t>设计采血点如下：</w:t>
      </w:r>
    </w:p>
    <w:p>
      <w:pPr>
        <w:widowControl w:val="0"/>
        <w:autoSpaceDE w:val="0"/>
        <w:autoSpaceDN w:val="0"/>
        <w:adjustRightInd w:val="0"/>
        <w:ind w:left="0" w:firstLine="480" w:firstLineChars="200"/>
        <w:contextualSpacing/>
        <w:rPr>
          <w:rFonts w:eastAsiaTheme="minorEastAsia"/>
          <w:lang w:eastAsia="zh-CN"/>
        </w:rPr>
      </w:pPr>
      <w:r>
        <w:rPr>
          <w:rFonts w:hint="eastAsia" w:eastAsiaTheme="minorEastAsia"/>
          <w:lang w:eastAsia="zh-CN"/>
        </w:rPr>
        <w:t>空腹试验</w:t>
      </w:r>
      <w:r>
        <w:rPr>
          <w:rFonts w:eastAsiaTheme="minorEastAsia"/>
          <w:lang w:val="zh-TW" w:eastAsia="zh-CN"/>
        </w:rPr>
        <w:t>每周期</w:t>
      </w:r>
      <w:r>
        <w:rPr>
          <w:rFonts w:eastAsiaTheme="minorEastAsia"/>
          <w:color w:val="000000"/>
          <w:lang w:eastAsia="zh-CN"/>
        </w:rPr>
        <w:t>在</w:t>
      </w:r>
      <w:r>
        <w:rPr>
          <w:rFonts w:eastAsiaTheme="minorEastAsia"/>
          <w:color w:val="000000"/>
          <w:lang w:eastAsia="zh-CN"/>
        </w:rPr>
        <w:fldChar w:fldCharType="begin"/>
      </w:r>
      <w:r>
        <w:rPr>
          <w:rFonts w:eastAsiaTheme="minorEastAsia"/>
          <w:color w:val="000000"/>
          <w:lang w:eastAsia="zh-CN"/>
        </w:rPr>
        <w:instrText xml:space="preserve"> MERGEFIELD 空腹采血点 </w:instrText>
      </w:r>
      <w:r>
        <w:rPr>
          <w:rFonts w:eastAsiaTheme="minorEastAsia"/>
          <w:color w:val="000000"/>
          <w:lang w:eastAsia="zh-CN"/>
        </w:rPr>
        <w:fldChar w:fldCharType="separate"/>
      </w:r>
      <w:r>
        <w:rPr>
          <w:rFonts w:eastAsiaTheme="minorEastAsia"/>
          <w:color w:val="000000"/>
          <w:lang w:eastAsia="zh-CN"/>
        </w:rPr>
        <w:t>服药前0h（给药60min内）和服药后</w:t>
      </w:r>
      <w:r>
        <w:rPr>
          <w:rFonts w:eastAsiaTheme="minorEastAsia"/>
          <w:color w:val="000000"/>
          <w:lang w:eastAsia="zh-CN"/>
        </w:rPr>
        <w:fldChar w:fldCharType="end"/>
      </w:r>
      <w:r>
        <w:rPr>
          <w:lang w:eastAsia="zh-CN"/>
        </w:rPr>
        <w:t>0.5、1.0、1.5、2.0、2.</w:t>
      </w:r>
      <w:r>
        <w:rPr>
          <w:rFonts w:hint="eastAsia"/>
          <w:lang w:eastAsia="zh-CN"/>
        </w:rPr>
        <w:t>33</w:t>
      </w:r>
      <w:r>
        <w:rPr>
          <w:lang w:eastAsia="zh-CN"/>
        </w:rPr>
        <w:t>、</w:t>
      </w:r>
      <w:r>
        <w:rPr>
          <w:rFonts w:hint="eastAsia"/>
          <w:lang w:eastAsia="zh-CN"/>
        </w:rPr>
        <w:t>2.67、</w:t>
      </w:r>
      <w:r>
        <w:rPr>
          <w:lang w:eastAsia="zh-CN"/>
        </w:rPr>
        <w:t>3.0、3.</w:t>
      </w:r>
      <w:r>
        <w:rPr>
          <w:rFonts w:hint="eastAsia"/>
          <w:lang w:eastAsia="zh-CN"/>
        </w:rPr>
        <w:t>33</w:t>
      </w:r>
      <w:r>
        <w:rPr>
          <w:lang w:eastAsia="zh-CN"/>
        </w:rPr>
        <w:t>、</w:t>
      </w:r>
      <w:r>
        <w:rPr>
          <w:rFonts w:hint="eastAsia"/>
          <w:lang w:eastAsia="zh-CN"/>
        </w:rPr>
        <w:t>3.67、</w:t>
      </w:r>
      <w:r>
        <w:rPr>
          <w:lang w:eastAsia="zh-CN"/>
        </w:rPr>
        <w:t>4.0、</w:t>
      </w:r>
      <w:r>
        <w:rPr>
          <w:rFonts w:hint="eastAsia"/>
          <w:lang w:eastAsia="zh-CN"/>
        </w:rPr>
        <w:t>4.5、</w:t>
      </w:r>
      <w:r>
        <w:rPr>
          <w:lang w:eastAsia="zh-CN"/>
        </w:rPr>
        <w:t>5.0、6.0、</w:t>
      </w:r>
      <w:r>
        <w:rPr>
          <w:rFonts w:hint="eastAsia"/>
          <w:lang w:eastAsia="zh-CN"/>
        </w:rPr>
        <w:t>9</w:t>
      </w:r>
      <w:r>
        <w:rPr>
          <w:lang w:eastAsia="zh-CN"/>
        </w:rPr>
        <w:t>.0、12.0、24.0、36.0、48.0h</w:t>
      </w:r>
      <w:r>
        <w:rPr>
          <w:rFonts w:eastAsiaTheme="minorEastAsia"/>
          <w:color w:val="000000"/>
          <w:lang w:eastAsia="zh-CN"/>
        </w:rPr>
        <w:t>，共</w:t>
      </w:r>
      <w:r>
        <w:rPr>
          <w:rFonts w:hint="eastAsia" w:eastAsiaTheme="minorEastAsia"/>
          <w:color w:val="000000"/>
          <w:lang w:eastAsia="zh-CN"/>
        </w:rPr>
        <w:t>19</w:t>
      </w:r>
      <w:r>
        <w:rPr>
          <w:rFonts w:eastAsiaTheme="minorEastAsia"/>
          <w:color w:val="000000"/>
          <w:lang w:eastAsia="zh-CN"/>
        </w:rPr>
        <w:t>个</w:t>
      </w:r>
      <w:r>
        <w:rPr>
          <w:rFonts w:hint="eastAsia" w:eastAsiaTheme="minorEastAsia"/>
          <w:color w:val="000000"/>
          <w:lang w:eastAsia="zh-CN"/>
        </w:rPr>
        <w:t>采血</w:t>
      </w:r>
      <w:r>
        <w:rPr>
          <w:rFonts w:eastAsiaTheme="minorEastAsia"/>
          <w:color w:val="000000"/>
          <w:lang w:eastAsia="zh-CN"/>
        </w:rPr>
        <w:t>点。每次采集静脉血约</w:t>
      </w:r>
      <w:r>
        <w:rPr>
          <w:rFonts w:hint="eastAsia" w:eastAsiaTheme="minorEastAsia"/>
          <w:color w:val="000000"/>
          <w:lang w:eastAsia="zh-CN"/>
        </w:rPr>
        <w:t>3ml</w:t>
      </w:r>
      <w:r>
        <w:rPr>
          <w:rFonts w:eastAsiaTheme="minorEastAsia"/>
          <w:color w:val="000000"/>
          <w:lang w:eastAsia="zh-CN"/>
        </w:rPr>
        <w:t>）。</w:t>
      </w:r>
      <w:r>
        <w:rPr>
          <w:rFonts w:hint="eastAsia" w:eastAsiaTheme="minorEastAsia"/>
          <w:lang w:eastAsia="zh-CN"/>
        </w:rPr>
        <w:t>两</w:t>
      </w:r>
      <w:r>
        <w:rPr>
          <w:rFonts w:eastAsiaTheme="minorEastAsia"/>
          <w:lang w:eastAsia="zh-CN"/>
        </w:rPr>
        <w:t>周期共</w:t>
      </w:r>
      <w:r>
        <w:rPr>
          <w:rFonts w:hint="eastAsia" w:eastAsiaTheme="minorEastAsia"/>
          <w:lang w:eastAsia="zh-CN"/>
        </w:rPr>
        <w:t>38</w:t>
      </w:r>
      <w:r>
        <w:rPr>
          <w:rFonts w:eastAsiaTheme="minorEastAsia"/>
          <w:lang w:eastAsia="zh-CN"/>
        </w:rPr>
        <w:t>个采</w:t>
      </w:r>
      <w:r>
        <w:rPr>
          <w:rFonts w:hint="eastAsia" w:eastAsiaTheme="minorEastAsia"/>
          <w:lang w:eastAsia="zh-CN"/>
        </w:rPr>
        <w:t>血点</w:t>
      </w:r>
      <w:r>
        <w:rPr>
          <w:rFonts w:eastAsiaTheme="minorEastAsia"/>
          <w:lang w:eastAsia="zh-CN"/>
        </w:rPr>
        <w:t>。</w:t>
      </w:r>
      <w:r>
        <w:rPr>
          <w:rFonts w:hint="eastAsia" w:eastAsiaTheme="minorEastAsia"/>
          <w:lang w:eastAsia="zh-CN"/>
        </w:rPr>
        <w:t>48</w:t>
      </w:r>
      <w:r>
        <w:rPr>
          <w:rFonts w:eastAsiaTheme="minorEastAsia"/>
          <w:lang w:eastAsia="zh-CN"/>
        </w:rPr>
        <w:t>例受试者采集的血浆样本量为</w:t>
      </w:r>
      <w:r>
        <w:rPr>
          <w:rFonts w:hint="eastAsia" w:eastAsiaTheme="minorEastAsia"/>
          <w:lang w:eastAsia="zh-CN"/>
        </w:rPr>
        <w:t>1824</w:t>
      </w:r>
      <w:r>
        <w:rPr>
          <w:rFonts w:eastAsiaTheme="minorEastAsia"/>
          <w:lang w:eastAsia="zh-CN"/>
        </w:rPr>
        <w:t>份（不包含备份样品）。</w:t>
      </w:r>
    </w:p>
    <w:p>
      <w:pPr>
        <w:widowControl w:val="0"/>
        <w:autoSpaceDE w:val="0"/>
        <w:autoSpaceDN w:val="0"/>
        <w:adjustRightInd w:val="0"/>
        <w:ind w:left="0" w:firstLine="480" w:firstLineChars="200"/>
        <w:contextualSpacing/>
        <w:rPr>
          <w:rFonts w:eastAsiaTheme="minorEastAsia"/>
          <w:lang w:eastAsia="zh-CN"/>
        </w:rPr>
      </w:pPr>
      <w:r>
        <w:rPr>
          <w:rFonts w:hint="eastAsia" w:eastAsiaTheme="minorEastAsia"/>
          <w:lang w:eastAsia="zh-CN"/>
        </w:rPr>
        <w:t>餐后试验</w:t>
      </w:r>
      <w:r>
        <w:rPr>
          <w:rFonts w:eastAsiaTheme="minorEastAsia"/>
          <w:lang w:val="zh-TW" w:eastAsia="zh-CN"/>
        </w:rPr>
        <w:t>每周期</w:t>
      </w:r>
      <w:r>
        <w:rPr>
          <w:rFonts w:eastAsiaTheme="minorEastAsia"/>
          <w:color w:val="000000"/>
          <w:lang w:eastAsia="zh-CN"/>
        </w:rPr>
        <w:t>在</w:t>
      </w:r>
      <w:r>
        <w:rPr>
          <w:rFonts w:eastAsiaTheme="minorEastAsia"/>
          <w:color w:val="000000"/>
          <w:lang w:eastAsia="zh-CN"/>
        </w:rPr>
        <w:fldChar w:fldCharType="begin"/>
      </w:r>
      <w:r>
        <w:rPr>
          <w:rFonts w:eastAsiaTheme="minorEastAsia"/>
          <w:color w:val="000000"/>
          <w:lang w:eastAsia="zh-CN"/>
        </w:rPr>
        <w:instrText xml:space="preserve"> MERGEFIELD 空腹采血点 </w:instrText>
      </w:r>
      <w:r>
        <w:rPr>
          <w:rFonts w:eastAsiaTheme="minorEastAsia"/>
          <w:color w:val="000000"/>
          <w:lang w:eastAsia="zh-CN"/>
        </w:rPr>
        <w:fldChar w:fldCharType="separate"/>
      </w:r>
      <w:r>
        <w:rPr>
          <w:rFonts w:eastAsiaTheme="minorEastAsia"/>
          <w:color w:val="000000"/>
          <w:lang w:eastAsia="zh-CN"/>
        </w:rPr>
        <w:t>服药前0h（给药60min内）和服药后</w:t>
      </w:r>
      <w:r>
        <w:rPr>
          <w:rFonts w:eastAsiaTheme="minorEastAsia"/>
          <w:color w:val="000000"/>
          <w:lang w:eastAsia="zh-CN"/>
        </w:rPr>
        <w:fldChar w:fldCharType="end"/>
      </w:r>
      <w:r>
        <w:rPr>
          <w:lang w:eastAsia="zh-CN"/>
        </w:rPr>
        <w:t>0.5、1.0、1.5、2.0、2.5、3.0、3.5、4.0、</w:t>
      </w:r>
      <w:r>
        <w:rPr>
          <w:rFonts w:hint="eastAsia"/>
          <w:lang w:eastAsia="zh-CN"/>
        </w:rPr>
        <w:t>4.5、</w:t>
      </w:r>
      <w:r>
        <w:rPr>
          <w:lang w:eastAsia="zh-CN"/>
        </w:rPr>
        <w:t>5.0</w:t>
      </w:r>
      <w:r>
        <w:rPr>
          <w:rFonts w:hint="eastAsia"/>
          <w:lang w:eastAsia="zh-CN"/>
        </w:rPr>
        <w:t>、</w:t>
      </w:r>
      <w:r>
        <w:rPr>
          <w:lang w:eastAsia="zh-CN"/>
        </w:rPr>
        <w:t>6.0、</w:t>
      </w:r>
      <w:r>
        <w:rPr>
          <w:rFonts w:hint="eastAsia"/>
          <w:lang w:eastAsia="zh-CN"/>
        </w:rPr>
        <w:t>9</w:t>
      </w:r>
      <w:r>
        <w:rPr>
          <w:lang w:eastAsia="zh-CN"/>
        </w:rPr>
        <w:t>.0、12.0、24.0、36.0、48.0h</w:t>
      </w:r>
      <w:r>
        <w:rPr>
          <w:rFonts w:eastAsiaTheme="minorEastAsia"/>
          <w:color w:val="000000"/>
          <w:lang w:eastAsia="zh-CN"/>
        </w:rPr>
        <w:t>，共</w:t>
      </w:r>
      <w:r>
        <w:rPr>
          <w:rFonts w:hint="eastAsia" w:eastAsiaTheme="minorEastAsia"/>
          <w:color w:val="000000"/>
          <w:lang w:eastAsia="zh-CN"/>
        </w:rPr>
        <w:t>17</w:t>
      </w:r>
      <w:r>
        <w:rPr>
          <w:rFonts w:eastAsiaTheme="minorEastAsia"/>
          <w:color w:val="000000"/>
          <w:lang w:eastAsia="zh-CN"/>
        </w:rPr>
        <w:t>个</w:t>
      </w:r>
      <w:r>
        <w:rPr>
          <w:rFonts w:hint="eastAsia" w:eastAsiaTheme="minorEastAsia"/>
          <w:color w:val="000000"/>
          <w:lang w:eastAsia="zh-CN"/>
        </w:rPr>
        <w:t>采血</w:t>
      </w:r>
      <w:r>
        <w:rPr>
          <w:rFonts w:eastAsiaTheme="minorEastAsia"/>
          <w:color w:val="000000"/>
          <w:lang w:eastAsia="zh-CN"/>
        </w:rPr>
        <w:t>点。每次采集静脉血约</w:t>
      </w:r>
      <w:r>
        <w:rPr>
          <w:rFonts w:hint="eastAsia" w:eastAsiaTheme="minorEastAsia"/>
          <w:color w:val="000000"/>
          <w:lang w:eastAsia="zh-CN"/>
        </w:rPr>
        <w:t>3ml</w:t>
      </w:r>
      <w:r>
        <w:rPr>
          <w:rFonts w:eastAsiaTheme="minorEastAsia"/>
          <w:color w:val="000000"/>
          <w:lang w:eastAsia="zh-CN"/>
        </w:rPr>
        <w:t>）。</w:t>
      </w:r>
      <w:r>
        <w:rPr>
          <w:rFonts w:hint="eastAsia" w:eastAsiaTheme="minorEastAsia"/>
          <w:lang w:eastAsia="zh-CN"/>
        </w:rPr>
        <w:t>两</w:t>
      </w:r>
      <w:r>
        <w:rPr>
          <w:rFonts w:eastAsiaTheme="minorEastAsia"/>
          <w:lang w:eastAsia="zh-CN"/>
        </w:rPr>
        <w:t>周期共</w:t>
      </w:r>
      <w:r>
        <w:rPr>
          <w:rFonts w:hint="eastAsia" w:eastAsiaTheme="minorEastAsia"/>
          <w:lang w:eastAsia="zh-CN"/>
        </w:rPr>
        <w:t>34</w:t>
      </w:r>
      <w:r>
        <w:rPr>
          <w:rFonts w:eastAsiaTheme="minorEastAsia"/>
          <w:lang w:eastAsia="zh-CN"/>
        </w:rPr>
        <w:t>个采</w:t>
      </w:r>
      <w:r>
        <w:rPr>
          <w:rFonts w:hint="eastAsia" w:eastAsiaTheme="minorEastAsia"/>
          <w:lang w:eastAsia="zh-CN"/>
        </w:rPr>
        <w:t>血点</w:t>
      </w:r>
      <w:r>
        <w:rPr>
          <w:rFonts w:eastAsiaTheme="minorEastAsia"/>
          <w:lang w:eastAsia="zh-CN"/>
        </w:rPr>
        <w:t>。</w:t>
      </w:r>
      <w:r>
        <w:rPr>
          <w:rFonts w:hint="eastAsia" w:eastAsiaTheme="minorEastAsia"/>
          <w:lang w:eastAsia="zh-CN"/>
        </w:rPr>
        <w:t>24</w:t>
      </w:r>
      <w:r>
        <w:rPr>
          <w:rFonts w:eastAsiaTheme="minorEastAsia"/>
          <w:lang w:eastAsia="zh-CN"/>
        </w:rPr>
        <w:t>例受试者采集的血浆样本量为</w:t>
      </w:r>
      <w:r>
        <w:rPr>
          <w:rFonts w:hint="eastAsia" w:eastAsiaTheme="minorEastAsia"/>
          <w:lang w:eastAsia="zh-CN"/>
        </w:rPr>
        <w:t>816</w:t>
      </w:r>
      <w:r>
        <w:rPr>
          <w:rFonts w:eastAsiaTheme="minorEastAsia"/>
          <w:lang w:eastAsia="zh-CN"/>
        </w:rPr>
        <w:t>份（不包含备份样品）。</w:t>
      </w:r>
    </w:p>
    <w:p>
      <w:pPr>
        <w:pStyle w:val="104"/>
        <w:autoSpaceDE w:val="0"/>
        <w:autoSpaceDN w:val="0"/>
        <w:adjustRightInd w:val="0"/>
        <w:ind w:left="0" w:firstLine="480" w:firstLineChars="200"/>
        <w:contextualSpacing/>
        <w:rPr>
          <w:rFonts w:eastAsiaTheme="minorEastAsia"/>
          <w:sz w:val="24"/>
          <w:szCs w:val="24"/>
        </w:rPr>
      </w:pPr>
      <w:r>
        <w:rPr>
          <w:rFonts w:eastAsiaTheme="minorEastAsia"/>
          <w:sz w:val="24"/>
          <w:szCs w:val="24"/>
        </w:rPr>
        <w:t>除非有其它说明，任何样品采集时间早于或晚于计划时间点均被认为属于时间偏离并进行记录，即使该偏离不具有药代动力学相关性。被认为与PK分析无相关性的采样时间允许的最大偏离范围定义见表</w:t>
      </w:r>
      <w:r>
        <w:rPr>
          <w:rFonts w:hint="eastAsia" w:eastAsiaTheme="minorEastAsia"/>
          <w:sz w:val="24"/>
          <w:szCs w:val="24"/>
        </w:rPr>
        <w:t>4</w:t>
      </w:r>
      <w:r>
        <w:rPr>
          <w:rFonts w:eastAsiaTheme="minorEastAsia"/>
          <w:sz w:val="24"/>
          <w:szCs w:val="24"/>
        </w:rPr>
        <w:t>。</w:t>
      </w:r>
    </w:p>
    <w:p>
      <w:pPr>
        <w:pStyle w:val="98"/>
        <w:widowControl w:val="0"/>
        <w:autoSpaceDE w:val="0"/>
        <w:autoSpaceDN w:val="0"/>
        <w:adjustRightInd w:val="0"/>
        <w:spacing w:before="0"/>
        <w:ind w:left="0" w:firstLine="0"/>
        <w:contextualSpacing/>
        <w:jc w:val="center"/>
        <w:rPr>
          <w:rFonts w:eastAsiaTheme="minorEastAsia"/>
          <w:b/>
          <w:kern w:val="2"/>
          <w:szCs w:val="24"/>
        </w:rPr>
      </w:pPr>
      <w:r>
        <w:rPr>
          <w:rFonts w:eastAsiaTheme="minorEastAsia"/>
          <w:b/>
          <w:kern w:val="2"/>
          <w:szCs w:val="24"/>
        </w:rPr>
        <w:t>表</w:t>
      </w:r>
      <w:r>
        <w:rPr>
          <w:rFonts w:hint="eastAsia" w:eastAsiaTheme="minorEastAsia"/>
          <w:b/>
          <w:kern w:val="2"/>
          <w:szCs w:val="24"/>
        </w:rPr>
        <w:t>4</w:t>
      </w:r>
      <w:r>
        <w:rPr>
          <w:rFonts w:eastAsiaTheme="minorEastAsia"/>
          <w:b/>
          <w:kern w:val="2"/>
          <w:szCs w:val="24"/>
        </w:rPr>
        <w:t xml:space="preserve">  PK采样允许的时间窗</w:t>
      </w:r>
    </w:p>
    <w:tbl>
      <w:tblPr>
        <w:tblStyle w:val="27"/>
        <w:tblW w:w="8346" w:type="dxa"/>
        <w:jc w:val="center"/>
        <w:tblInd w:w="0" w:type="dxa"/>
        <w:tblLayout w:type="fixed"/>
        <w:tblCellMar>
          <w:top w:w="0" w:type="dxa"/>
          <w:left w:w="108" w:type="dxa"/>
          <w:bottom w:w="0" w:type="dxa"/>
          <w:right w:w="108" w:type="dxa"/>
        </w:tblCellMar>
      </w:tblPr>
      <w:tblGrid>
        <w:gridCol w:w="3531"/>
        <w:gridCol w:w="4815"/>
      </w:tblGrid>
      <w:tr>
        <w:tblPrEx>
          <w:tblLayout w:type="fixed"/>
          <w:tblCellMar>
            <w:top w:w="0" w:type="dxa"/>
            <w:left w:w="108" w:type="dxa"/>
            <w:bottom w:w="0" w:type="dxa"/>
            <w:right w:w="108" w:type="dxa"/>
          </w:tblCellMar>
        </w:tblPrEx>
        <w:trPr>
          <w:trHeight w:val="454" w:hRule="atLeast"/>
          <w:tblHeader/>
          <w:jc w:val="center"/>
        </w:trPr>
        <w:tc>
          <w:tcPr>
            <w:tcW w:w="3531" w:type="dxa"/>
            <w:tcBorders>
              <w:top w:val="single" w:color="auto" w:sz="4" w:space="0"/>
              <w:bottom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计划PK采样时间点</w:t>
            </w:r>
          </w:p>
        </w:tc>
        <w:tc>
          <w:tcPr>
            <w:tcW w:w="4815" w:type="dxa"/>
            <w:tcBorders>
              <w:top w:val="single" w:color="auto" w:sz="4" w:space="0"/>
              <w:bottom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时间窗</w:t>
            </w:r>
          </w:p>
        </w:tc>
      </w:tr>
      <w:tr>
        <w:tblPrEx>
          <w:tblLayout w:type="fixed"/>
          <w:tblCellMar>
            <w:top w:w="0" w:type="dxa"/>
            <w:left w:w="108" w:type="dxa"/>
            <w:bottom w:w="0" w:type="dxa"/>
            <w:right w:w="108" w:type="dxa"/>
          </w:tblCellMar>
        </w:tblPrEx>
        <w:trPr>
          <w:trHeight w:val="454" w:hRule="atLeast"/>
          <w:jc w:val="center"/>
        </w:trPr>
        <w:tc>
          <w:tcPr>
            <w:tcW w:w="3531" w:type="dxa"/>
            <w:tcBorders>
              <w:top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第1天给药前（0 h）</w:t>
            </w:r>
          </w:p>
        </w:tc>
        <w:tc>
          <w:tcPr>
            <w:tcW w:w="4815" w:type="dxa"/>
            <w:tcBorders>
              <w:top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给药前60min内</w:t>
            </w:r>
          </w:p>
        </w:tc>
      </w:tr>
      <w:tr>
        <w:tblPrEx>
          <w:tblLayout w:type="fixed"/>
          <w:tblCellMar>
            <w:top w:w="0" w:type="dxa"/>
            <w:left w:w="108" w:type="dxa"/>
            <w:bottom w:w="0" w:type="dxa"/>
            <w:right w:w="108" w:type="dxa"/>
          </w:tblCellMar>
        </w:tblPrEx>
        <w:trPr>
          <w:trHeight w:val="454" w:hRule="atLeast"/>
          <w:jc w:val="center"/>
        </w:trPr>
        <w:tc>
          <w:tcPr>
            <w:tcW w:w="3531"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&gt; 0 h且≤</w:t>
            </w:r>
            <w:r>
              <w:rPr>
                <w:rFonts w:ascii="Times New Roman" w:hAnsi="Times New Roman" w:eastAsia="宋体" w:cs="Times New Roman"/>
                <w:sz w:val="21"/>
                <w:szCs w:val="21"/>
              </w:rPr>
              <w:t>1.0</w:t>
            </w:r>
            <w:r>
              <w:rPr>
                <w:rFonts w:hint="default" w:ascii="Times New Roman" w:hAnsi="Times New Roman" w:eastAsia="宋体" w:cs="Times New Roman"/>
                <w:sz w:val="21"/>
                <w:szCs w:val="21"/>
              </w:rPr>
              <w:t>h</w:t>
            </w:r>
          </w:p>
        </w:tc>
        <w:tc>
          <w:tcPr>
            <w:tcW w:w="4815"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±1min</w:t>
            </w:r>
          </w:p>
        </w:tc>
      </w:tr>
      <w:tr>
        <w:tblPrEx>
          <w:tblLayout w:type="fixed"/>
          <w:tblCellMar>
            <w:top w:w="0" w:type="dxa"/>
            <w:left w:w="108" w:type="dxa"/>
            <w:bottom w:w="0" w:type="dxa"/>
            <w:right w:w="108" w:type="dxa"/>
          </w:tblCellMar>
        </w:tblPrEx>
        <w:trPr>
          <w:trHeight w:val="454" w:hRule="atLeast"/>
          <w:jc w:val="center"/>
        </w:trPr>
        <w:tc>
          <w:tcPr>
            <w:tcW w:w="3531"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ascii="宋体" w:hAnsi="宋体" w:eastAsia="宋体" w:cs="Times New Roman"/>
                <w:sz w:val="21"/>
                <w:szCs w:val="21"/>
              </w:rPr>
              <w:t>＞</w:t>
            </w:r>
            <w:r>
              <w:rPr>
                <w:rFonts w:hint="default" w:ascii="Times New Roman" w:hAnsi="Times New Roman" w:eastAsia="宋体" w:cs="Times New Roman"/>
                <w:sz w:val="21"/>
                <w:szCs w:val="21"/>
              </w:rPr>
              <w:t>1.0h且≤</w:t>
            </w:r>
            <w:r>
              <w:rPr>
                <w:rFonts w:ascii="Times New Roman" w:hAnsi="Times New Roman" w:eastAsia="宋体" w:cs="Times New Roman"/>
                <w:sz w:val="21"/>
                <w:szCs w:val="21"/>
              </w:rPr>
              <w:t>4</w:t>
            </w:r>
            <w:r>
              <w:rPr>
                <w:rFonts w:hint="default" w:ascii="Times New Roman" w:hAnsi="Times New Roman" w:eastAsia="宋体" w:cs="Times New Roman"/>
                <w:color w:val="auto"/>
                <w:sz w:val="21"/>
                <w:szCs w:val="21"/>
              </w:rPr>
              <w:t>.</w:t>
            </w:r>
            <w:r>
              <w:rPr>
                <w:rFonts w:hint="default" w:ascii="Times New Roman" w:hAnsi="Times New Roman" w:eastAsia="宋体" w:cs="Times New Roman"/>
                <w:sz w:val="21"/>
                <w:szCs w:val="21"/>
              </w:rPr>
              <w:t>0</w:t>
            </w:r>
            <w:r>
              <w:rPr>
                <w:rFonts w:hint="default" w:ascii="Times New Roman" w:hAnsi="Times New Roman" w:eastAsia="宋体" w:cs="Times New Roman"/>
                <w:color w:val="auto"/>
                <w:sz w:val="21"/>
                <w:szCs w:val="21"/>
              </w:rPr>
              <w:t>h</w:t>
            </w:r>
          </w:p>
        </w:tc>
        <w:tc>
          <w:tcPr>
            <w:tcW w:w="4815"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±2min</w:t>
            </w:r>
          </w:p>
        </w:tc>
      </w:tr>
      <w:tr>
        <w:tblPrEx>
          <w:tblLayout w:type="fixed"/>
          <w:tblCellMar>
            <w:top w:w="0" w:type="dxa"/>
            <w:left w:w="108" w:type="dxa"/>
            <w:bottom w:w="0" w:type="dxa"/>
            <w:right w:w="108" w:type="dxa"/>
          </w:tblCellMar>
        </w:tblPrEx>
        <w:trPr>
          <w:trHeight w:val="454" w:hRule="atLeast"/>
          <w:jc w:val="center"/>
        </w:trPr>
        <w:tc>
          <w:tcPr>
            <w:tcW w:w="3531"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&gt;</w:t>
            </w:r>
            <w:r>
              <w:rPr>
                <w:rFonts w:ascii="Times New Roman" w:hAnsi="Times New Roman" w:eastAsia="宋体" w:cs="Times New Roman"/>
                <w:sz w:val="21"/>
                <w:szCs w:val="21"/>
              </w:rPr>
              <w:t>4</w:t>
            </w:r>
            <w:r>
              <w:rPr>
                <w:rFonts w:hint="default" w:ascii="Times New Roman" w:hAnsi="Times New Roman" w:eastAsia="宋体" w:cs="Times New Roman"/>
                <w:color w:val="auto"/>
                <w:sz w:val="21"/>
                <w:szCs w:val="21"/>
              </w:rPr>
              <w:t>.0h</w:t>
            </w:r>
            <w:r>
              <w:rPr>
                <w:rFonts w:hint="default" w:ascii="Times New Roman" w:hAnsi="Times New Roman" w:eastAsia="宋体" w:cs="Times New Roman"/>
                <w:sz w:val="21"/>
                <w:szCs w:val="21"/>
              </w:rPr>
              <w:t>且≤</w:t>
            </w:r>
            <w:r>
              <w:rPr>
                <w:rFonts w:ascii="Times New Roman" w:hAnsi="Times New Roman" w:eastAsia="宋体" w:cs="Times New Roman"/>
                <w:sz w:val="21"/>
                <w:szCs w:val="21"/>
              </w:rPr>
              <w:t>12</w:t>
            </w:r>
            <w:r>
              <w:rPr>
                <w:rFonts w:hint="default" w:ascii="Times New Roman" w:hAnsi="Times New Roman" w:eastAsia="宋体" w:cs="Times New Roman"/>
                <w:color w:val="auto"/>
                <w:sz w:val="21"/>
                <w:szCs w:val="21"/>
              </w:rPr>
              <w:t>.</w:t>
            </w:r>
            <w:r>
              <w:rPr>
                <w:rFonts w:hint="default" w:ascii="Times New Roman" w:hAnsi="Times New Roman" w:eastAsia="宋体" w:cs="Times New Roman"/>
                <w:sz w:val="21"/>
                <w:szCs w:val="21"/>
              </w:rPr>
              <w:t>0</w:t>
            </w:r>
            <w:r>
              <w:rPr>
                <w:rFonts w:hint="default" w:ascii="Times New Roman" w:hAnsi="Times New Roman" w:eastAsia="宋体" w:cs="Times New Roman"/>
                <w:color w:val="auto"/>
                <w:sz w:val="21"/>
                <w:szCs w:val="21"/>
              </w:rPr>
              <w:t>h</w:t>
            </w:r>
          </w:p>
        </w:tc>
        <w:tc>
          <w:tcPr>
            <w:tcW w:w="4815"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±3min</w:t>
            </w:r>
          </w:p>
        </w:tc>
      </w:tr>
      <w:tr>
        <w:tblPrEx>
          <w:tblLayout w:type="fixed"/>
          <w:tblCellMar>
            <w:top w:w="0" w:type="dxa"/>
            <w:left w:w="108" w:type="dxa"/>
            <w:bottom w:w="0" w:type="dxa"/>
            <w:right w:w="108" w:type="dxa"/>
          </w:tblCellMar>
        </w:tblPrEx>
        <w:trPr>
          <w:trHeight w:val="454" w:hRule="atLeast"/>
          <w:jc w:val="center"/>
        </w:trPr>
        <w:tc>
          <w:tcPr>
            <w:tcW w:w="3531"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&gt;</w:t>
            </w:r>
            <w:r>
              <w:rPr>
                <w:rFonts w:ascii="Times New Roman" w:hAnsi="Times New Roman" w:eastAsia="宋体" w:cs="Times New Roman"/>
                <w:sz w:val="21"/>
                <w:szCs w:val="21"/>
              </w:rPr>
              <w:t>1</w:t>
            </w:r>
            <w:r>
              <w:rPr>
                <w:rFonts w:hint="default" w:ascii="Times New Roman" w:hAnsi="Times New Roman" w:eastAsia="宋体" w:cs="Times New Roman"/>
                <w:sz w:val="21"/>
                <w:szCs w:val="21"/>
              </w:rPr>
              <w:t>2</w:t>
            </w:r>
            <w:r>
              <w:rPr>
                <w:rFonts w:hint="default" w:ascii="Times New Roman" w:hAnsi="Times New Roman" w:eastAsia="宋体" w:cs="Times New Roman"/>
                <w:color w:val="auto"/>
                <w:sz w:val="21"/>
                <w:szCs w:val="21"/>
              </w:rPr>
              <w:t>.0h</w:t>
            </w:r>
            <w:r>
              <w:rPr>
                <w:rFonts w:hint="default" w:ascii="Times New Roman" w:hAnsi="Times New Roman" w:eastAsia="宋体" w:cs="Times New Roman"/>
                <w:sz w:val="21"/>
                <w:szCs w:val="21"/>
              </w:rPr>
              <w:t>且≤24</w:t>
            </w:r>
            <w:r>
              <w:rPr>
                <w:rFonts w:hint="default" w:ascii="Times New Roman" w:hAnsi="Times New Roman" w:eastAsia="宋体" w:cs="Times New Roman"/>
                <w:color w:val="auto"/>
                <w:sz w:val="21"/>
                <w:szCs w:val="21"/>
              </w:rPr>
              <w:t>.</w:t>
            </w:r>
            <w:r>
              <w:rPr>
                <w:rFonts w:hint="default" w:ascii="Times New Roman" w:hAnsi="Times New Roman" w:eastAsia="宋体" w:cs="Times New Roman"/>
                <w:sz w:val="21"/>
                <w:szCs w:val="21"/>
              </w:rPr>
              <w:t>0</w:t>
            </w:r>
            <w:r>
              <w:rPr>
                <w:rFonts w:hint="default" w:ascii="Times New Roman" w:hAnsi="Times New Roman" w:eastAsia="宋体" w:cs="Times New Roman"/>
                <w:color w:val="auto"/>
                <w:sz w:val="21"/>
                <w:szCs w:val="21"/>
              </w:rPr>
              <w:t>h</w:t>
            </w:r>
          </w:p>
        </w:tc>
        <w:tc>
          <w:tcPr>
            <w:tcW w:w="4815" w:type="dxa"/>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±5min</w:t>
            </w:r>
          </w:p>
        </w:tc>
      </w:tr>
      <w:tr>
        <w:tblPrEx>
          <w:tblLayout w:type="fixed"/>
          <w:tblCellMar>
            <w:top w:w="0" w:type="dxa"/>
            <w:left w:w="108" w:type="dxa"/>
            <w:bottom w:w="0" w:type="dxa"/>
            <w:right w:w="108" w:type="dxa"/>
          </w:tblCellMar>
        </w:tblPrEx>
        <w:trPr>
          <w:trHeight w:val="454" w:hRule="atLeast"/>
          <w:jc w:val="center"/>
        </w:trPr>
        <w:tc>
          <w:tcPr>
            <w:tcW w:w="3531" w:type="dxa"/>
            <w:tcBorders>
              <w:bottom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&gt;24</w:t>
            </w:r>
            <w:r>
              <w:rPr>
                <w:rFonts w:ascii="Times New Roman" w:hAnsi="Times New Roman" w:eastAsia="宋体" w:cs="Times New Roman"/>
                <w:sz w:val="21"/>
                <w:szCs w:val="21"/>
              </w:rPr>
              <w:t>.0</w:t>
            </w:r>
            <w:r>
              <w:rPr>
                <w:rFonts w:hint="default" w:ascii="Times New Roman" w:hAnsi="Times New Roman" w:eastAsia="宋体" w:cs="Times New Roman"/>
                <w:sz w:val="21"/>
                <w:szCs w:val="21"/>
              </w:rPr>
              <w:t>h且≤</w:t>
            </w:r>
            <w:r>
              <w:rPr>
                <w:rFonts w:ascii="Times New Roman" w:hAnsi="Times New Roman" w:eastAsia="宋体" w:cs="Times New Roman"/>
                <w:sz w:val="21"/>
                <w:szCs w:val="21"/>
              </w:rPr>
              <w:t>48.0</w:t>
            </w:r>
            <w:r>
              <w:rPr>
                <w:rFonts w:hint="default" w:ascii="Times New Roman" w:hAnsi="Times New Roman" w:eastAsia="宋体" w:cs="Times New Roman"/>
                <w:sz w:val="21"/>
                <w:szCs w:val="21"/>
              </w:rPr>
              <w:t>h</w:t>
            </w:r>
          </w:p>
        </w:tc>
        <w:tc>
          <w:tcPr>
            <w:tcW w:w="4815" w:type="dxa"/>
            <w:tcBorders>
              <w:bottom w:val="single" w:color="auto" w:sz="4" w:space="0"/>
            </w:tcBorders>
            <w:vAlign w:val="center"/>
          </w:tcPr>
          <w:p>
            <w:pPr>
              <w:pStyle w:val="103"/>
              <w:autoSpaceDE w:val="0"/>
              <w:autoSpaceDN w:val="0"/>
              <w:adjustRightInd w:val="0"/>
              <w:spacing w:line="360" w:lineRule="auto"/>
              <w:ind w:left="0" w:firstLine="0"/>
              <w:contextualSpacing/>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ascii="Times New Roman" w:hAnsi="Times New Roman" w:eastAsia="宋体" w:cs="Times New Roman"/>
                <w:sz w:val="21"/>
                <w:szCs w:val="21"/>
              </w:rPr>
              <w:t>10</w:t>
            </w:r>
            <w:r>
              <w:rPr>
                <w:rFonts w:hint="default" w:ascii="Times New Roman" w:hAnsi="Times New Roman" w:eastAsia="宋体" w:cs="Times New Roman"/>
                <w:sz w:val="21"/>
                <w:szCs w:val="21"/>
              </w:rPr>
              <w:t>min</w:t>
            </w:r>
          </w:p>
        </w:tc>
      </w:tr>
    </w:tbl>
    <w:p>
      <w:pPr>
        <w:pStyle w:val="4"/>
        <w:keepNext w:val="0"/>
        <w:keepLines w:val="0"/>
        <w:widowControl w:val="0"/>
        <w:numPr>
          <w:ilvl w:val="1"/>
          <w:numId w:val="25"/>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257" w:name="_Toc460500129"/>
      <w:bookmarkStart w:id="258" w:name="_Toc450833043"/>
      <w:bookmarkStart w:id="259" w:name="_Toc8297"/>
      <w:bookmarkStart w:id="260" w:name="_Toc521584588"/>
      <w:bookmarkStart w:id="261" w:name="_Toc460952508"/>
      <w:bookmarkStart w:id="262" w:name="_Toc2478"/>
      <w:r>
        <w:rPr>
          <w:rFonts w:ascii="Times New Roman" w:hAnsi="Times New Roman" w:eastAsiaTheme="minorEastAsia"/>
          <w:sz w:val="24"/>
          <w:szCs w:val="24"/>
          <w:lang w:val="zh-TW" w:eastAsia="zh-TW"/>
        </w:rPr>
        <w:t>样品分析</w:t>
      </w:r>
      <w:bookmarkEnd w:id="257"/>
      <w:bookmarkEnd w:id="258"/>
      <w:bookmarkEnd w:id="259"/>
      <w:r>
        <w:rPr>
          <w:rFonts w:ascii="Times New Roman" w:hAnsi="Times New Roman" w:eastAsiaTheme="minorEastAsia"/>
          <w:sz w:val="24"/>
          <w:szCs w:val="24"/>
          <w:lang w:val="zh-TW" w:eastAsia="zh-TW"/>
        </w:rPr>
        <w:t>方法</w:t>
      </w:r>
      <w:bookmarkEnd w:id="260"/>
      <w:bookmarkEnd w:id="261"/>
      <w:bookmarkEnd w:id="262"/>
    </w:p>
    <w:p>
      <w:pPr>
        <w:widowControl w:val="0"/>
        <w:autoSpaceDE w:val="0"/>
        <w:autoSpaceDN w:val="0"/>
        <w:adjustRightInd w:val="0"/>
        <w:ind w:left="0" w:firstLine="480" w:firstLineChars="200"/>
        <w:contextualSpacing/>
        <w:rPr>
          <w:rFonts w:eastAsiaTheme="minorEastAsia"/>
          <w:lang w:val="zh-TW" w:eastAsia="zh-CN"/>
        </w:rPr>
      </w:pPr>
      <w:r>
        <w:rPr>
          <w:rFonts w:eastAsiaTheme="minorEastAsia"/>
          <w:lang w:val="zh-TW" w:eastAsia="zh-TW"/>
        </w:rPr>
        <w:t>本次临床</w:t>
      </w:r>
      <w:r>
        <w:rPr>
          <w:rFonts w:eastAsiaTheme="minorEastAsia"/>
          <w:lang w:val="zh-TW" w:eastAsia="zh-CN"/>
        </w:rPr>
        <w:t>试验</w:t>
      </w:r>
      <w:r>
        <w:rPr>
          <w:rFonts w:eastAsiaTheme="minorEastAsia"/>
          <w:lang w:val="zh-TW" w:eastAsia="zh-TW"/>
        </w:rPr>
        <w:t>生物样本分析单位为</w:t>
      </w:r>
      <w:r>
        <w:rPr>
          <w:rStyle w:val="32"/>
          <w:rFonts w:hint="eastAsia" w:ascii="Arial" w:hAnsi="Arial" w:cs="Arial"/>
          <w:shd w:val="clear" w:color="auto" w:fill="FFFFFF"/>
          <w:lang w:eastAsia="zh-CN"/>
        </w:rPr>
        <w:t>XXXXXX</w:t>
      </w:r>
      <w:r>
        <w:rPr>
          <w:rFonts w:eastAsiaTheme="minorEastAsia"/>
          <w:lang w:val="zh-TW" w:eastAsia="zh-TW"/>
        </w:rPr>
        <w:t>，</w:t>
      </w:r>
      <w:r>
        <w:rPr>
          <w:rFonts w:eastAsiaTheme="minorEastAsia"/>
          <w:lang w:val="zh-TW" w:eastAsia="zh-CN"/>
        </w:rPr>
        <w:t>该</w:t>
      </w:r>
      <w:r>
        <w:rPr>
          <w:rFonts w:eastAsiaTheme="minorEastAsia"/>
          <w:lang w:val="zh-TW" w:eastAsia="zh-TW"/>
        </w:rPr>
        <w:t>公司经过了卫生部临床检验中心的全国临床检验室间质量评价，具有药代动力学实验室生物样本检测资质</w:t>
      </w:r>
      <w:r>
        <w:rPr>
          <w:rFonts w:eastAsiaTheme="minorEastAsia"/>
          <w:lang w:val="zh-TW" w:eastAsia="zh-CN"/>
        </w:rPr>
        <w:t>。</w:t>
      </w:r>
    </w:p>
    <w:p>
      <w:pPr>
        <w:widowControl w:val="0"/>
        <w:autoSpaceDE w:val="0"/>
        <w:autoSpaceDN w:val="0"/>
        <w:adjustRightInd w:val="0"/>
        <w:ind w:left="0" w:firstLine="480" w:firstLineChars="200"/>
        <w:contextualSpacing/>
        <w:rPr>
          <w:rFonts w:eastAsiaTheme="minorEastAsia"/>
          <w:lang w:eastAsia="zh-CN"/>
        </w:rPr>
      </w:pPr>
      <w:r>
        <w:rPr>
          <w:rFonts w:eastAsiaTheme="minorEastAsia"/>
          <w:lang w:val="zh-TW" w:eastAsia="zh-TW"/>
        </w:rPr>
        <w:t>在样品测试前按照《化学药物制剂人体生物利用度和生物等效性研究技术指导原则》</w:t>
      </w:r>
      <w:r>
        <w:rPr>
          <w:rFonts w:eastAsiaTheme="minorEastAsia"/>
          <w:lang w:val="zh-TW" w:eastAsia="zh-CN"/>
        </w:rPr>
        <w:t>2005年版、</w:t>
      </w:r>
      <w:r>
        <w:rPr>
          <w:rFonts w:eastAsiaTheme="minorEastAsia"/>
          <w:lang w:val="zh-TW" w:eastAsia="zh-TW"/>
        </w:rPr>
        <w:t>《以药动学参数为终点评价指标的化学药物仿制药人体生物等效性研究技术指导原则》</w:t>
      </w:r>
      <w:r>
        <w:rPr>
          <w:rFonts w:eastAsiaTheme="minorEastAsia"/>
          <w:lang w:val="zh-TW" w:eastAsia="zh-CN"/>
        </w:rPr>
        <w:t>201</w:t>
      </w:r>
      <w:r>
        <w:rPr>
          <w:rFonts w:eastAsiaTheme="minorEastAsia"/>
          <w:lang w:eastAsia="zh-CN"/>
        </w:rPr>
        <w:t>6</w:t>
      </w:r>
      <w:r>
        <w:rPr>
          <w:rFonts w:eastAsiaTheme="minorEastAsia"/>
          <w:lang w:val="zh-TW" w:eastAsia="zh-CN"/>
        </w:rPr>
        <w:t>年版、</w:t>
      </w:r>
      <w:r>
        <w:rPr>
          <w:rFonts w:eastAsiaTheme="minorEastAsia"/>
          <w:lang w:val="zh-TW" w:eastAsia="zh-TW"/>
        </w:rPr>
        <w:t>《中国药典2015年版，生物样品定量分析方法验证指导原则》</w:t>
      </w:r>
      <w:r>
        <w:rPr>
          <w:rFonts w:eastAsiaTheme="minorEastAsia"/>
          <w:lang w:val="zh-TW" w:eastAsia="zh-CN"/>
        </w:rPr>
        <w:t>和</w:t>
      </w:r>
      <w:r>
        <w:rPr>
          <w:rFonts w:eastAsiaTheme="minorEastAsia"/>
          <w:lang w:val="zh-TW" w:eastAsia="zh-TW"/>
        </w:rPr>
        <w:t>《药物临床试验生物样本分析实验室管理指南（试行）》</w:t>
      </w:r>
      <w:r>
        <w:rPr>
          <w:rFonts w:eastAsiaTheme="minorEastAsia"/>
          <w:lang w:val="zh-TW" w:eastAsia="zh-CN"/>
        </w:rPr>
        <w:t>2011年版</w:t>
      </w:r>
      <w:r>
        <w:rPr>
          <w:rFonts w:eastAsiaTheme="minorEastAsia"/>
          <w:lang w:val="zh-TW" w:eastAsia="zh-TW"/>
        </w:rPr>
        <w:t>对临床生物样品测定方法学确证的要求，并参照国际相关技术指南和实验室SOP，制定方法学确证计划，确定线性范围、最低定量限等，进行方法确证。</w:t>
      </w:r>
    </w:p>
    <w:p>
      <w:pPr>
        <w:widowControl w:val="0"/>
        <w:autoSpaceDE w:val="0"/>
        <w:autoSpaceDN w:val="0"/>
        <w:adjustRightInd w:val="0"/>
        <w:ind w:left="0" w:firstLine="480" w:firstLineChars="200"/>
        <w:contextualSpacing/>
        <w:rPr>
          <w:rFonts w:eastAsiaTheme="minorEastAsia"/>
          <w:color w:val="000000"/>
          <w:lang w:eastAsia="zh-CN"/>
        </w:rPr>
      </w:pPr>
      <w:r>
        <w:rPr>
          <w:rFonts w:eastAsiaTheme="minorEastAsia"/>
          <w:lang w:eastAsia="zh-CN"/>
        </w:rPr>
        <w:t>拟采用已确证的高效液相色谱—串联质谱（HPLC-MS/MS）法测定</w:t>
      </w:r>
      <w:r>
        <w:rPr>
          <w:rFonts w:eastAsiaTheme="minorEastAsia"/>
          <w:color w:val="000000"/>
          <w:lang w:eastAsia="zh-CN"/>
        </w:rPr>
        <w:t>血浆中</w:t>
      </w:r>
      <w:r>
        <w:rPr>
          <w:rFonts w:eastAsiaTheme="minorEastAsia"/>
          <w:color w:val="000000"/>
          <w:lang w:val="zh-TW" w:eastAsia="zh-CN"/>
        </w:rPr>
        <w:fldChar w:fldCharType="begin"/>
      </w:r>
      <w:r>
        <w:rPr>
          <w:rFonts w:eastAsiaTheme="minorEastAsia"/>
          <w:color w:val="000000"/>
          <w:lang w:val="zh-TW" w:eastAsia="zh-CN"/>
        </w:rPr>
        <w:instrText xml:space="preserve"> MERGEFIELD 检测产物 </w:instrText>
      </w:r>
      <w:r>
        <w:rPr>
          <w:rFonts w:eastAsiaTheme="minorEastAsia"/>
          <w:color w:val="000000"/>
          <w:lang w:val="zh-TW" w:eastAsia="zh-CN"/>
        </w:rPr>
        <w:fldChar w:fldCharType="separate"/>
      </w:r>
      <w:r>
        <w:rPr>
          <w:rFonts w:hint="eastAsia" w:eastAsiaTheme="minorEastAsia"/>
          <w:color w:val="000000"/>
          <w:lang w:val="zh-TW" w:eastAsia="zh-CN"/>
        </w:rPr>
        <w:t>乙胺丁醇</w:t>
      </w:r>
      <w:r>
        <w:rPr>
          <w:rFonts w:eastAsiaTheme="minorEastAsia"/>
          <w:color w:val="000000"/>
          <w:lang w:val="zh-TW" w:eastAsia="zh-CN"/>
        </w:rPr>
        <w:fldChar w:fldCharType="end"/>
      </w:r>
      <w:r>
        <w:rPr>
          <w:rFonts w:eastAsiaTheme="minorEastAsia"/>
          <w:color w:val="000000"/>
          <w:lang w:eastAsia="zh-CN"/>
        </w:rPr>
        <w:t>浓度。</w:t>
      </w:r>
    </w:p>
    <w:p>
      <w:pPr>
        <w:pStyle w:val="3"/>
        <w:autoSpaceDE w:val="0"/>
        <w:autoSpaceDN w:val="0"/>
        <w:adjustRightInd w:val="0"/>
        <w:ind w:left="0" w:firstLine="480" w:firstLineChars="200"/>
        <w:contextualSpacing/>
        <w:rPr>
          <w:rFonts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lang w:val="zh-TW" w:eastAsia="zh-TW"/>
        </w:rPr>
        <w:t>在进行未知试验样品分析时，一个分析批包括空白样品和零浓度样品，包括至少</w:t>
      </w:r>
      <w:r>
        <w:rPr>
          <w:rFonts w:ascii="Times New Roman" w:hAnsi="Times New Roman" w:cs="Times New Roman" w:eastAsiaTheme="minorEastAsia"/>
          <w:color w:val="auto"/>
          <w:sz w:val="24"/>
          <w:szCs w:val="24"/>
        </w:rPr>
        <w:t>6</w:t>
      </w:r>
      <w:r>
        <w:rPr>
          <w:rFonts w:ascii="Times New Roman" w:hAnsi="Times New Roman" w:cs="Times New Roman" w:eastAsiaTheme="minorEastAsia"/>
          <w:color w:val="auto"/>
          <w:sz w:val="24"/>
          <w:szCs w:val="24"/>
          <w:lang w:val="zh-TW" w:eastAsia="zh-TW"/>
        </w:rPr>
        <w:t>个浓度水平的标曲样品，至少</w:t>
      </w:r>
      <w:r>
        <w:rPr>
          <w:rFonts w:ascii="Times New Roman" w:hAnsi="Times New Roman" w:cs="Times New Roman" w:eastAsiaTheme="minorEastAsia"/>
          <w:color w:val="auto"/>
          <w:sz w:val="24"/>
          <w:szCs w:val="24"/>
        </w:rPr>
        <w:t>3</w:t>
      </w:r>
      <w:r>
        <w:rPr>
          <w:rFonts w:ascii="Times New Roman" w:hAnsi="Times New Roman" w:cs="Times New Roman" w:eastAsiaTheme="minorEastAsia"/>
          <w:color w:val="auto"/>
          <w:sz w:val="24"/>
          <w:szCs w:val="24"/>
          <w:lang w:val="zh-TW" w:eastAsia="zh-TW"/>
        </w:rPr>
        <w:t>个浓度水平质控样品（低、中、高浓度双重样品，或至少试验样品总数的</w:t>
      </w:r>
      <w:r>
        <w:rPr>
          <w:rFonts w:ascii="Times New Roman" w:hAnsi="Times New Roman" w:cs="Times New Roman" w:eastAsiaTheme="minorEastAsia"/>
          <w:color w:val="auto"/>
          <w:sz w:val="24"/>
          <w:szCs w:val="24"/>
        </w:rPr>
        <w:t>5%</w:t>
      </w:r>
      <w:r>
        <w:rPr>
          <w:rFonts w:ascii="Times New Roman" w:hAnsi="Times New Roman" w:cs="Times New Roman" w:eastAsiaTheme="minorEastAsia"/>
          <w:color w:val="auto"/>
          <w:sz w:val="24"/>
          <w:szCs w:val="24"/>
          <w:lang w:val="zh-TW" w:eastAsia="zh-TW"/>
        </w:rPr>
        <w:t>，两者中取数目更多者），以及被分析的未知试验样品。所有样品（标曲样品、质控和未知试验样品）应按照它们将被分析的顺序，在同一样品批中被处理和提取。质控样品应该分散到整个批中，以此保证整个分析批的准确度和精密度。同一名受试者的全部样品尽可能在同一分析批中分析，以减少结果的变异。低于定量下限（</w:t>
      </w:r>
      <w:r>
        <w:rPr>
          <w:rFonts w:ascii="Times New Roman" w:hAnsi="Times New Roman" w:cs="Times New Roman" w:eastAsiaTheme="minorEastAsia"/>
          <w:color w:val="auto"/>
          <w:sz w:val="24"/>
          <w:szCs w:val="24"/>
        </w:rPr>
        <w:t>BQL</w:t>
      </w:r>
      <w:r>
        <w:rPr>
          <w:rFonts w:ascii="Times New Roman" w:hAnsi="Times New Roman" w:cs="Times New Roman" w:eastAsiaTheme="minorEastAsia"/>
          <w:color w:val="auto"/>
          <w:sz w:val="24"/>
          <w:szCs w:val="24"/>
          <w:lang w:val="zh-TW" w:eastAsia="zh-TW"/>
        </w:rPr>
        <w:t>）的任何结果和任何遗失样本都会进行标记。</w:t>
      </w:r>
    </w:p>
    <w:p>
      <w:pPr>
        <w:pStyle w:val="3"/>
        <w:autoSpaceDE w:val="0"/>
        <w:autoSpaceDN w:val="0"/>
        <w:adjustRightInd w:val="0"/>
        <w:ind w:left="0" w:firstLine="480" w:firstLineChars="200"/>
        <w:contextualSpacing/>
        <w:rPr>
          <w:rFonts w:ascii="Times New Roman" w:hAnsi="Times New Roman" w:cs="Times New Roman" w:eastAsiaTheme="minorEastAsia"/>
          <w:color w:val="auto"/>
          <w:sz w:val="24"/>
          <w:szCs w:val="24"/>
          <w:lang w:val="zh-TW"/>
        </w:rPr>
      </w:pPr>
      <w:r>
        <w:rPr>
          <w:rFonts w:ascii="Times New Roman" w:hAnsi="Times New Roman" w:cs="Times New Roman" w:eastAsiaTheme="minorEastAsia"/>
          <w:color w:val="auto"/>
          <w:sz w:val="24"/>
          <w:szCs w:val="24"/>
          <w:lang w:val="zh-TW" w:eastAsia="zh-TW"/>
        </w:rPr>
        <w:t>试验样品再分析：未知试验样品测定完成后，在另外一个分析批中重新分析试验样品，来评价实际样品测定的准确度。</w:t>
      </w:r>
      <w:r>
        <w:rPr>
          <w:rFonts w:ascii="Times New Roman" w:hAnsi="Times New Roman" w:cs="Times New Roman" w:eastAsiaTheme="minorEastAsia"/>
          <w:color w:val="0000FF"/>
          <w:sz w:val="24"/>
          <w:szCs w:val="24"/>
          <w:lang w:val="zh-TW" w:eastAsia="zh-TW"/>
        </w:rPr>
        <w:t>选取受试者</w:t>
      </w:r>
      <w:r>
        <w:rPr>
          <w:rFonts w:ascii="Times New Roman" w:hAnsi="Times New Roman" w:cs="Times New Roman" w:eastAsiaTheme="minorEastAsia"/>
          <w:color w:val="0000FF"/>
          <w:sz w:val="24"/>
          <w:szCs w:val="24"/>
        </w:rPr>
        <w:t>C</w:t>
      </w:r>
      <w:r>
        <w:rPr>
          <w:rFonts w:ascii="Times New Roman" w:hAnsi="Times New Roman" w:cs="Times New Roman" w:eastAsiaTheme="minorEastAsia"/>
          <w:color w:val="0000FF"/>
          <w:sz w:val="24"/>
          <w:szCs w:val="24"/>
          <w:vertAlign w:val="subscript"/>
        </w:rPr>
        <w:t>max</w:t>
      </w:r>
      <w:r>
        <w:rPr>
          <w:rFonts w:ascii="Times New Roman" w:hAnsi="Times New Roman" w:cs="Times New Roman" w:eastAsiaTheme="minorEastAsia"/>
          <w:color w:val="0000FF"/>
          <w:sz w:val="24"/>
          <w:szCs w:val="24"/>
          <w:lang w:val="zh-TW" w:eastAsia="zh-TW"/>
        </w:rPr>
        <w:t>附近和消除相样品的结果，重新分析</w:t>
      </w:r>
      <w:r>
        <w:rPr>
          <w:rFonts w:ascii="Times New Roman" w:hAnsi="Times New Roman" w:cs="Times New Roman" w:eastAsiaTheme="minorEastAsia"/>
          <w:color w:val="0000FF"/>
          <w:sz w:val="24"/>
          <w:szCs w:val="24"/>
        </w:rPr>
        <w:t>10%</w:t>
      </w:r>
      <w:r>
        <w:rPr>
          <w:rFonts w:ascii="Times New Roman" w:hAnsi="Times New Roman" w:cs="Times New Roman" w:eastAsiaTheme="minorEastAsia"/>
          <w:color w:val="0000FF"/>
          <w:sz w:val="24"/>
          <w:szCs w:val="24"/>
          <w:lang w:val="zh-TW" w:eastAsia="zh-TW"/>
        </w:rPr>
        <w:t>的样品，如果样品总数超过</w:t>
      </w:r>
      <w:r>
        <w:rPr>
          <w:rFonts w:ascii="Times New Roman" w:hAnsi="Times New Roman" w:cs="Times New Roman" w:eastAsiaTheme="minorEastAsia"/>
          <w:color w:val="0000FF"/>
          <w:sz w:val="24"/>
          <w:szCs w:val="24"/>
        </w:rPr>
        <w:t>1000</w:t>
      </w:r>
      <w:r>
        <w:rPr>
          <w:rFonts w:ascii="Times New Roman" w:hAnsi="Times New Roman" w:cs="Times New Roman" w:eastAsiaTheme="minorEastAsia"/>
          <w:color w:val="0000FF"/>
          <w:sz w:val="24"/>
          <w:szCs w:val="24"/>
          <w:lang w:val="zh-TW" w:eastAsia="zh-TW"/>
        </w:rPr>
        <w:t>，则超出部分重新分析</w:t>
      </w:r>
      <w:r>
        <w:rPr>
          <w:rFonts w:ascii="Times New Roman" w:hAnsi="Times New Roman" w:cs="Times New Roman" w:eastAsiaTheme="minorEastAsia"/>
          <w:color w:val="0000FF"/>
          <w:sz w:val="24"/>
          <w:szCs w:val="24"/>
        </w:rPr>
        <w:t>5%</w:t>
      </w:r>
      <w:r>
        <w:rPr>
          <w:rFonts w:ascii="Times New Roman" w:hAnsi="Times New Roman" w:cs="Times New Roman" w:eastAsiaTheme="minorEastAsia"/>
          <w:color w:val="0000FF"/>
          <w:sz w:val="24"/>
          <w:szCs w:val="24"/>
          <w:lang w:val="zh-TW" w:eastAsia="zh-TW"/>
        </w:rPr>
        <w:t>样品</w:t>
      </w:r>
      <w:r>
        <w:rPr>
          <w:rFonts w:ascii="Times New Roman" w:hAnsi="Times New Roman" w:cs="Times New Roman" w:eastAsiaTheme="minorEastAsia"/>
          <w:color w:val="auto"/>
          <w:sz w:val="24"/>
          <w:szCs w:val="24"/>
          <w:lang w:val="zh-TW" w:eastAsia="zh-TW"/>
        </w:rPr>
        <w:t>。至少有</w:t>
      </w:r>
      <w:r>
        <w:rPr>
          <w:rFonts w:ascii="Times New Roman" w:hAnsi="Times New Roman" w:cs="Times New Roman" w:eastAsiaTheme="minorEastAsia"/>
          <w:color w:val="auto"/>
          <w:sz w:val="24"/>
          <w:szCs w:val="24"/>
        </w:rPr>
        <w:t>67%</w:t>
      </w:r>
      <w:r>
        <w:rPr>
          <w:rFonts w:ascii="Times New Roman" w:hAnsi="Times New Roman" w:cs="Times New Roman" w:eastAsiaTheme="minorEastAsia"/>
          <w:color w:val="auto"/>
          <w:sz w:val="24"/>
          <w:szCs w:val="24"/>
          <w:lang w:val="zh-TW" w:eastAsia="zh-TW"/>
        </w:rPr>
        <w:t>的重复测试，原始分析测得的浓度和重新分析测得的浓度之间的差异应在两者均值的</w:t>
      </w:r>
      <w:r>
        <w:rPr>
          <w:rFonts w:ascii="Times New Roman" w:hAnsi="Times New Roman" w:cs="Times New Roman" w:eastAsiaTheme="minorEastAsia"/>
          <w:color w:val="auto"/>
          <w:sz w:val="24"/>
          <w:szCs w:val="24"/>
        </w:rPr>
        <w:t>±20%</w:t>
      </w:r>
      <w:r>
        <w:rPr>
          <w:rFonts w:ascii="Times New Roman" w:hAnsi="Times New Roman" w:cs="Times New Roman" w:eastAsiaTheme="minorEastAsia"/>
          <w:color w:val="auto"/>
          <w:sz w:val="24"/>
          <w:szCs w:val="24"/>
          <w:lang w:val="zh-TW" w:eastAsia="zh-TW"/>
        </w:rPr>
        <w:t>范围内。试验样品再分析显示偏差结果的情况下，应该进行考察，采取足够的步骤优化分析方法</w:t>
      </w:r>
      <w:r>
        <w:rPr>
          <w:rFonts w:ascii="Times New Roman" w:hAnsi="Times New Roman" w:cs="Times New Roman" w:eastAsiaTheme="minorEastAsia"/>
          <w:color w:val="auto"/>
          <w:sz w:val="24"/>
          <w:szCs w:val="24"/>
          <w:lang w:val="zh-TW"/>
        </w:rPr>
        <w:t>。</w:t>
      </w:r>
    </w:p>
    <w:p>
      <w:pPr>
        <w:pStyle w:val="3"/>
        <w:autoSpaceDE w:val="0"/>
        <w:autoSpaceDN w:val="0"/>
        <w:adjustRightInd w:val="0"/>
        <w:spacing w:line="240" w:lineRule="auto"/>
        <w:ind w:left="0" w:firstLine="480" w:firstLineChars="200"/>
        <w:contextualSpacing/>
        <w:rPr>
          <w:rFonts w:ascii="Times New Roman" w:hAnsi="Times New Roman" w:cs="Times New Roman" w:eastAsiaTheme="minorEastAsia"/>
          <w:color w:val="auto"/>
          <w:sz w:val="24"/>
          <w:szCs w:val="24"/>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eastAsia="zh-CN"/>
        </w:rPr>
      </w:pPr>
      <w:bookmarkStart w:id="263" w:name="_Toc19399"/>
      <w:bookmarkStart w:id="264" w:name="_Toc4662"/>
      <w:bookmarkStart w:id="265" w:name="_Toc460500130"/>
      <w:bookmarkStart w:id="266" w:name="_Toc521584589"/>
      <w:bookmarkStart w:id="267" w:name="_Toc460952509"/>
      <w:r>
        <w:rPr>
          <w:rFonts w:hint="eastAsia" w:ascii="Times New Roman" w:hAnsi="Times New Roman" w:eastAsiaTheme="minorEastAsia"/>
          <w:color w:val="auto"/>
          <w:sz w:val="24"/>
          <w:szCs w:val="24"/>
          <w:lang w:val="en-US" w:eastAsia="zh-CN"/>
        </w:rPr>
        <w:t xml:space="preserve">7      </w:t>
      </w:r>
      <w:r>
        <w:rPr>
          <w:rFonts w:ascii="Times New Roman" w:hAnsi="Times New Roman" w:eastAsiaTheme="minorEastAsia"/>
          <w:color w:val="auto"/>
          <w:sz w:val="24"/>
          <w:szCs w:val="24"/>
          <w:lang w:val="zh-TW" w:eastAsia="zh-TW"/>
        </w:rPr>
        <w:t>药代参数和安全性评价指标</w:t>
      </w:r>
      <w:bookmarkEnd w:id="263"/>
      <w:bookmarkEnd w:id="264"/>
      <w:bookmarkEnd w:id="265"/>
      <w:bookmarkEnd w:id="266"/>
      <w:bookmarkEnd w:id="267"/>
    </w:p>
    <w:p>
      <w:pPr>
        <w:pStyle w:val="4"/>
        <w:keepNext w:val="0"/>
        <w:keepLines w:val="0"/>
        <w:widowControl w:val="0"/>
        <w:numPr>
          <w:ilvl w:val="1"/>
          <w:numId w:val="26"/>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268" w:name="_Toc460952510"/>
      <w:bookmarkStart w:id="269" w:name="_Toc19934"/>
      <w:bookmarkStart w:id="270" w:name="_Toc521584590"/>
      <w:bookmarkStart w:id="271" w:name="_Toc460500131"/>
      <w:bookmarkStart w:id="272" w:name="_Toc381"/>
      <w:r>
        <w:rPr>
          <w:rFonts w:ascii="Times New Roman" w:hAnsi="Times New Roman" w:eastAsiaTheme="minorEastAsia"/>
          <w:sz w:val="24"/>
          <w:szCs w:val="24"/>
          <w:lang w:val="zh-TW" w:eastAsia="zh-TW"/>
        </w:rPr>
        <w:t>用于评价的药代参数</w:t>
      </w:r>
      <w:bookmarkEnd w:id="268"/>
      <w:bookmarkEnd w:id="269"/>
      <w:bookmarkEnd w:id="270"/>
      <w:bookmarkEnd w:id="271"/>
      <w:bookmarkEnd w:id="272"/>
    </w:p>
    <w:p>
      <w:pPr>
        <w:pStyle w:val="3"/>
        <w:autoSpaceDE w:val="0"/>
        <w:autoSpaceDN w:val="0"/>
        <w:adjustRightInd w:val="0"/>
        <w:ind w:left="0" w:firstLine="480" w:firstLineChars="200"/>
        <w:contextualSpacing/>
        <w:rPr>
          <w:rFonts w:ascii="Times New Roman" w:hAnsi="Times New Roman" w:cs="Times New Roman" w:eastAsiaTheme="minorEastAsia"/>
          <w:sz w:val="24"/>
          <w:szCs w:val="24"/>
        </w:rPr>
      </w:pPr>
      <w:r>
        <w:rPr>
          <w:rFonts w:ascii="Times New Roman" w:hAnsi="Times New Roman" w:cs="Times New Roman" w:eastAsiaTheme="minorEastAsia"/>
          <w:sz w:val="24"/>
          <w:szCs w:val="24"/>
        </w:rPr>
        <w:t>对血药浓度数据使用非房室模型进行药代动力学参数分析。</w:t>
      </w:r>
    </w:p>
    <w:tbl>
      <w:tblPr>
        <w:tblStyle w:val="27"/>
        <w:tblW w:w="9235" w:type="dxa"/>
        <w:jc w:val="center"/>
        <w:tblInd w:w="0" w:type="dxa"/>
        <w:tblLayout w:type="fixed"/>
        <w:tblCellMar>
          <w:top w:w="0" w:type="dxa"/>
          <w:left w:w="108" w:type="dxa"/>
          <w:bottom w:w="0" w:type="dxa"/>
          <w:right w:w="108" w:type="dxa"/>
        </w:tblCellMar>
      </w:tblPr>
      <w:tblGrid>
        <w:gridCol w:w="1525"/>
        <w:gridCol w:w="7710"/>
      </w:tblGrid>
      <w:tr>
        <w:tblPrEx>
          <w:tblLayout w:type="fixed"/>
          <w:tblCellMar>
            <w:top w:w="0" w:type="dxa"/>
            <w:left w:w="108" w:type="dxa"/>
            <w:bottom w:w="0" w:type="dxa"/>
            <w:right w:w="108" w:type="dxa"/>
          </w:tblCellMar>
        </w:tblPrEx>
        <w:trPr>
          <w:trHeight w:val="284" w:hRule="atLeast"/>
          <w:jc w:val="center"/>
        </w:trPr>
        <w:tc>
          <w:tcPr>
            <w:tcW w:w="9235" w:type="dxa"/>
            <w:gridSpan w:val="2"/>
          </w:tcPr>
          <w:p>
            <w:pPr>
              <w:pStyle w:val="92"/>
              <w:spacing w:line="360" w:lineRule="auto"/>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b/>
                <w:color w:val="auto"/>
                <w:sz w:val="21"/>
                <w:szCs w:val="21"/>
              </w:rPr>
              <w:t>主要评价指标</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i/>
                <w:color w:val="auto"/>
                <w:sz w:val="21"/>
                <w:szCs w:val="21"/>
              </w:rPr>
            </w:pPr>
            <w:r>
              <w:rPr>
                <w:rFonts w:ascii="Times New Roman" w:hAnsi="Times New Roman" w:cs="Times New Roman" w:eastAsiaTheme="minorEastAsia"/>
                <w:sz w:val="21"/>
                <w:szCs w:val="21"/>
              </w:rPr>
              <w:t>C</w:t>
            </w:r>
            <w:r>
              <w:rPr>
                <w:rFonts w:ascii="Times New Roman" w:hAnsi="Times New Roman" w:cs="Times New Roman" w:eastAsiaTheme="minorEastAsia"/>
                <w:sz w:val="21"/>
                <w:szCs w:val="21"/>
                <w:vertAlign w:val="subscript"/>
              </w:rPr>
              <w:t>max</w:t>
            </w:r>
          </w:p>
        </w:tc>
        <w:tc>
          <w:tcPr>
            <w:tcW w:w="7710" w:type="dxa"/>
          </w:tcPr>
          <w:p>
            <w:pPr>
              <w:pStyle w:val="92"/>
              <w:spacing w:line="360" w:lineRule="auto"/>
              <w:contextualSpacing/>
              <w:jc w:val="both"/>
              <w:rPr>
                <w:rFonts w:ascii="Times New Roman" w:hAnsi="Times New Roman" w:cs="Times New Roman" w:eastAsiaTheme="minorEastAsia"/>
                <w:color w:val="auto"/>
                <w:position w:val="-8"/>
                <w:sz w:val="21"/>
                <w:szCs w:val="21"/>
              </w:rPr>
            </w:pPr>
            <w:r>
              <w:rPr>
                <w:rFonts w:ascii="Times New Roman" w:hAnsi="Times New Roman" w:cs="Times New Roman" w:eastAsiaTheme="minorEastAsia"/>
                <w:sz w:val="21"/>
                <w:szCs w:val="21"/>
              </w:rPr>
              <w:t>峰浓度。根据血药浓度-时间实测数据直接获得。</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0-t</w:t>
            </w:r>
          </w:p>
        </w:tc>
        <w:tc>
          <w:tcPr>
            <w:tcW w:w="7710" w:type="dxa"/>
          </w:tcPr>
          <w:p>
            <w:pPr>
              <w:pStyle w:val="92"/>
              <w:spacing w:line="360" w:lineRule="auto"/>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从</w:t>
            </w:r>
            <w:r>
              <w:rPr>
                <w:rFonts w:ascii="Times New Roman" w:hAnsi="Times New Roman" w:cs="Times New Roman" w:eastAsiaTheme="minorEastAsia"/>
                <w:bCs/>
                <w:sz w:val="21"/>
                <w:szCs w:val="21"/>
              </w:rPr>
              <w:t>给药到</w:t>
            </w:r>
            <w:r>
              <w:rPr>
                <w:rFonts w:ascii="Times New Roman" w:hAnsi="Times New Roman" w:cs="Times New Roman" w:eastAsiaTheme="minorEastAsia"/>
                <w:sz w:val="21"/>
                <w:szCs w:val="21"/>
              </w:rPr>
              <w:t>可检测最低血药浓度的时间内曲线下面积。通过线性梯形法则计算。</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i/>
                <w:color w:val="auto"/>
                <w:sz w:val="21"/>
                <w:szCs w:val="21"/>
              </w:rPr>
            </w:pP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0-</w:t>
            </w:r>
            <w:r>
              <w:rPr>
                <w:rFonts w:hint="eastAsia" w:ascii="Times New Roman" w:hAnsi="Times New Roman" w:cs="Times New Roman" w:eastAsiaTheme="minorEastAsia"/>
                <w:sz w:val="21"/>
                <w:szCs w:val="21"/>
                <w:vertAlign w:val="subscript"/>
              </w:rPr>
              <w:t>∞</w:t>
            </w:r>
          </w:p>
        </w:tc>
        <w:tc>
          <w:tcPr>
            <w:tcW w:w="7710" w:type="dxa"/>
          </w:tcPr>
          <w:p>
            <w:pPr>
              <w:pStyle w:val="92"/>
              <w:spacing w:line="360" w:lineRule="auto"/>
              <w:contextualSpacing/>
              <w:jc w:val="both"/>
              <w:rPr>
                <w:rFonts w:ascii="Times New Roman" w:hAnsi="Times New Roman" w:cs="Times New Roman" w:eastAsiaTheme="minorEastAsia"/>
                <w:color w:val="auto"/>
                <w:position w:val="-8"/>
                <w:sz w:val="21"/>
                <w:szCs w:val="21"/>
              </w:rPr>
            </w:pPr>
            <w:r>
              <w:rPr>
                <w:rFonts w:ascii="Times New Roman" w:hAnsi="Times New Roman" w:cs="Times New Roman" w:eastAsiaTheme="minorEastAsia"/>
                <w:sz w:val="21"/>
                <w:szCs w:val="21"/>
              </w:rPr>
              <w:t>从给药到外推至无穷远时间的曲线下面积。AUC</w:t>
            </w:r>
            <w:r>
              <w:rPr>
                <w:rFonts w:ascii="Times New Roman" w:hAnsi="Times New Roman" w:cs="Times New Roman" w:eastAsiaTheme="minorEastAsia"/>
                <w:sz w:val="21"/>
                <w:szCs w:val="21"/>
                <w:vertAlign w:val="subscript"/>
              </w:rPr>
              <w:t>0-</w:t>
            </w:r>
            <w:r>
              <w:rPr>
                <w:rFonts w:hint="eastAsia" w:ascii="Times New Roman" w:hAnsi="Times New Roman" w:cs="Times New Roman" w:eastAsiaTheme="minorEastAsia"/>
                <w:sz w:val="21"/>
                <w:szCs w:val="21"/>
                <w:vertAlign w:val="subscript"/>
              </w:rPr>
              <w:t>∞</w:t>
            </w: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0-t</w:t>
            </w:r>
            <w:r>
              <w:rPr>
                <w:rFonts w:ascii="Times New Roman" w:hAnsi="Times New Roman" w:cs="Times New Roman" w:eastAsiaTheme="minorEastAsia"/>
                <w:sz w:val="21"/>
                <w:szCs w:val="21"/>
              </w:rPr>
              <w:t>+C</w:t>
            </w:r>
            <w:r>
              <w:rPr>
                <w:rFonts w:ascii="Times New Roman" w:hAnsi="Times New Roman" w:cs="Times New Roman" w:eastAsiaTheme="minorEastAsia"/>
                <w:sz w:val="21"/>
                <w:szCs w:val="21"/>
                <w:vertAlign w:val="subscript"/>
              </w:rPr>
              <w:t>t</w:t>
            </w:r>
            <w:r>
              <w:rPr>
                <w:rFonts w:ascii="Times New Roman" w:hAnsi="Times New Roman" w:cs="Times New Roman" w:eastAsiaTheme="minorEastAsia"/>
                <w:sz w:val="21"/>
                <w:szCs w:val="21"/>
              </w:rPr>
              <w:t>/λ</w:t>
            </w:r>
            <w:r>
              <w:rPr>
                <w:rFonts w:ascii="Times New Roman" w:hAnsi="Times New Roman" w:cs="Times New Roman" w:eastAsiaTheme="minorEastAsia"/>
                <w:sz w:val="21"/>
                <w:szCs w:val="21"/>
                <w:vertAlign w:val="subscript"/>
              </w:rPr>
              <w:t>z</w:t>
            </w:r>
            <w:r>
              <w:rPr>
                <w:rFonts w:ascii="Times New Roman" w:hAnsi="Times New Roman" w:cs="Times New Roman" w:eastAsiaTheme="minorEastAsia"/>
                <w:sz w:val="21"/>
                <w:szCs w:val="21"/>
              </w:rPr>
              <w:t>，C</w:t>
            </w:r>
            <w:r>
              <w:rPr>
                <w:rFonts w:ascii="Times New Roman" w:hAnsi="Times New Roman" w:cs="Times New Roman" w:eastAsiaTheme="minorEastAsia"/>
                <w:sz w:val="21"/>
                <w:szCs w:val="21"/>
                <w:vertAlign w:val="subscript"/>
              </w:rPr>
              <w:t>t</w:t>
            </w:r>
            <w:r>
              <w:rPr>
                <w:rFonts w:ascii="Times New Roman" w:hAnsi="Times New Roman" w:cs="Times New Roman" w:eastAsiaTheme="minorEastAsia"/>
                <w:sz w:val="21"/>
                <w:szCs w:val="21"/>
              </w:rPr>
              <w:t>是最后可测量浓度，λ</w:t>
            </w:r>
            <w:r>
              <w:rPr>
                <w:rFonts w:ascii="Times New Roman" w:hAnsi="Times New Roman" w:cs="Times New Roman" w:eastAsiaTheme="minorEastAsia"/>
                <w:sz w:val="21"/>
                <w:szCs w:val="21"/>
                <w:vertAlign w:val="subscript"/>
              </w:rPr>
              <w:t>z</w:t>
            </w:r>
            <w:r>
              <w:rPr>
                <w:rFonts w:ascii="Times New Roman" w:hAnsi="Times New Roman" w:cs="Times New Roman" w:eastAsiaTheme="minorEastAsia"/>
                <w:sz w:val="21"/>
                <w:szCs w:val="21"/>
              </w:rPr>
              <w:t>是消除速率常数。</w:t>
            </w:r>
          </w:p>
        </w:tc>
      </w:tr>
      <w:tr>
        <w:tblPrEx>
          <w:tblLayout w:type="fixed"/>
          <w:tblCellMar>
            <w:top w:w="0" w:type="dxa"/>
            <w:left w:w="108" w:type="dxa"/>
            <w:bottom w:w="0" w:type="dxa"/>
            <w:right w:w="108" w:type="dxa"/>
          </w:tblCellMar>
        </w:tblPrEx>
        <w:trPr>
          <w:trHeight w:val="284" w:hRule="atLeast"/>
          <w:jc w:val="center"/>
        </w:trPr>
        <w:tc>
          <w:tcPr>
            <w:tcW w:w="9235" w:type="dxa"/>
            <w:gridSpan w:val="2"/>
          </w:tcPr>
          <w:p>
            <w:pPr>
              <w:pStyle w:val="92"/>
              <w:spacing w:line="360" w:lineRule="auto"/>
              <w:contextualSpacing/>
              <w:jc w:val="both"/>
              <w:rPr>
                <w:rFonts w:ascii="Times New Roman" w:hAnsi="Times New Roman" w:cs="Times New Roman" w:eastAsiaTheme="minorEastAsia"/>
                <w:color w:val="auto"/>
                <w:position w:val="-8"/>
                <w:sz w:val="21"/>
                <w:szCs w:val="21"/>
              </w:rPr>
            </w:pPr>
            <w:r>
              <w:rPr>
                <w:rFonts w:ascii="Times New Roman" w:hAnsi="Times New Roman" w:cs="Times New Roman" w:eastAsiaTheme="minorEastAsia"/>
                <w:b/>
                <w:color w:val="auto"/>
                <w:sz w:val="21"/>
                <w:szCs w:val="21"/>
              </w:rPr>
              <w:t>次要评价指标</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T</w:t>
            </w:r>
            <w:r>
              <w:rPr>
                <w:rFonts w:ascii="Times New Roman" w:hAnsi="Times New Roman" w:cs="Times New Roman" w:eastAsiaTheme="minorEastAsia"/>
                <w:sz w:val="21"/>
                <w:szCs w:val="21"/>
                <w:vertAlign w:val="subscript"/>
              </w:rPr>
              <w:t>max</w:t>
            </w:r>
          </w:p>
        </w:tc>
        <w:tc>
          <w:tcPr>
            <w:tcW w:w="7710" w:type="dxa"/>
          </w:tcPr>
          <w:p>
            <w:pPr>
              <w:pStyle w:val="92"/>
              <w:spacing w:line="360" w:lineRule="auto"/>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达峰浓度的时间。根据血药浓度-时间实测数据直接获得。</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λ</w:t>
            </w:r>
            <w:r>
              <w:rPr>
                <w:rFonts w:ascii="Times New Roman" w:hAnsi="Times New Roman" w:cs="Times New Roman" w:eastAsiaTheme="minorEastAsia"/>
                <w:sz w:val="21"/>
                <w:szCs w:val="21"/>
                <w:vertAlign w:val="subscript"/>
              </w:rPr>
              <w:t>z</w:t>
            </w:r>
          </w:p>
        </w:tc>
        <w:tc>
          <w:tcPr>
            <w:tcW w:w="7710" w:type="dxa"/>
          </w:tcPr>
          <w:p>
            <w:pPr>
              <w:pStyle w:val="92"/>
              <w:spacing w:line="360" w:lineRule="auto"/>
              <w:ind w:right="-194" w:rightChars="-81"/>
              <w:contextualSpacing/>
              <w:jc w:val="both"/>
              <w:rPr>
                <w:rFonts w:ascii="Times New Roman" w:hAnsi="Times New Roman" w:cs="Times New Roman" w:eastAsiaTheme="minorEastAsia"/>
                <w:b/>
                <w:color w:val="auto"/>
                <w:sz w:val="21"/>
                <w:szCs w:val="21"/>
              </w:rPr>
            </w:pPr>
            <w:r>
              <w:rPr>
                <w:rFonts w:hint="eastAsia" w:ascii="Times New Roman" w:hAnsi="Times New Roman" w:cs="Times New Roman" w:eastAsiaTheme="minorEastAsia"/>
                <w:sz w:val="21"/>
                <w:szCs w:val="21"/>
              </w:rPr>
              <w:t>末端相的血药浓度消除速率常数</w:t>
            </w:r>
            <w:r>
              <w:rPr>
                <w:rFonts w:hint="eastAsia" w:ascii="Times New Roman" w:hAnsi="Times New Roman" w:cs="Times New Roman" w:eastAsiaTheme="minorEastAsia"/>
                <w:sz w:val="21"/>
                <w:szCs w:val="21"/>
                <w:lang w:eastAsia="zh-CN"/>
              </w:rPr>
              <w:t>。</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t</w:t>
            </w:r>
            <w:r>
              <w:rPr>
                <w:rFonts w:ascii="Times New Roman" w:hAnsi="Times New Roman" w:cs="Times New Roman" w:eastAsiaTheme="minorEastAsia"/>
                <w:sz w:val="21"/>
                <w:szCs w:val="21"/>
                <w:vertAlign w:val="subscript"/>
              </w:rPr>
              <w:t>1/2</w:t>
            </w:r>
          </w:p>
        </w:tc>
        <w:tc>
          <w:tcPr>
            <w:tcW w:w="7710" w:type="dxa"/>
          </w:tcPr>
          <w:p>
            <w:pPr>
              <w:pStyle w:val="92"/>
              <w:spacing w:line="360" w:lineRule="auto"/>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消除终末端半衰期。按照ln2/λ</w:t>
            </w:r>
            <w:r>
              <w:rPr>
                <w:rFonts w:ascii="Times New Roman" w:hAnsi="Times New Roman" w:cs="Times New Roman" w:eastAsiaTheme="minorEastAsia"/>
                <w:sz w:val="21"/>
                <w:szCs w:val="21"/>
                <w:vertAlign w:val="subscript"/>
              </w:rPr>
              <w:t>z</w:t>
            </w:r>
            <w:r>
              <w:rPr>
                <w:rFonts w:ascii="Times New Roman" w:hAnsi="Times New Roman" w:cs="Times New Roman" w:eastAsiaTheme="minorEastAsia"/>
                <w:sz w:val="21"/>
                <w:szCs w:val="21"/>
              </w:rPr>
              <w:t>计算。</w:t>
            </w:r>
          </w:p>
        </w:tc>
      </w:tr>
      <w:tr>
        <w:tblPrEx>
          <w:tblLayout w:type="fixed"/>
          <w:tblCellMar>
            <w:top w:w="0" w:type="dxa"/>
            <w:left w:w="108" w:type="dxa"/>
            <w:bottom w:w="0" w:type="dxa"/>
            <w:right w:w="108" w:type="dxa"/>
          </w:tblCellMar>
        </w:tblPrEx>
        <w:trPr>
          <w:trHeight w:val="284" w:hRule="atLeast"/>
          <w:jc w:val="center"/>
        </w:trPr>
        <w:tc>
          <w:tcPr>
            <w:tcW w:w="1525" w:type="dxa"/>
          </w:tcPr>
          <w:p>
            <w:pPr>
              <w:pStyle w:val="92"/>
              <w:spacing w:line="360" w:lineRule="auto"/>
              <w:ind w:left="240" w:leftChars="100" w:right="-130" w:rightChars="-54"/>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_%Extrap</w:t>
            </w:r>
          </w:p>
        </w:tc>
        <w:tc>
          <w:tcPr>
            <w:tcW w:w="7710" w:type="dxa"/>
          </w:tcPr>
          <w:p>
            <w:pPr>
              <w:pStyle w:val="92"/>
              <w:spacing w:line="360" w:lineRule="auto"/>
              <w:contextualSpacing/>
              <w:jc w:val="both"/>
              <w:rPr>
                <w:rFonts w:ascii="Times New Roman" w:hAnsi="Times New Roman" w:cs="Times New Roman" w:eastAsiaTheme="minorEastAsia"/>
                <w:b/>
                <w:color w:val="auto"/>
                <w:sz w:val="21"/>
                <w:szCs w:val="21"/>
              </w:rPr>
            </w:pPr>
            <w:r>
              <w:rPr>
                <w:rFonts w:ascii="Times New Roman" w:hAnsi="Times New Roman" w:cs="Times New Roman" w:eastAsiaTheme="minorEastAsia"/>
                <w:sz w:val="21"/>
                <w:szCs w:val="21"/>
              </w:rPr>
              <w:t>残留面积百分比。以[(AUC</w:t>
            </w:r>
            <w:r>
              <w:rPr>
                <w:rFonts w:ascii="Times New Roman" w:hAnsi="Times New Roman" w:cs="Times New Roman" w:eastAsiaTheme="minorEastAsia"/>
                <w:sz w:val="21"/>
                <w:szCs w:val="21"/>
                <w:vertAlign w:val="subscript"/>
              </w:rPr>
              <w:t>0-</w:t>
            </w:r>
            <w:r>
              <w:rPr>
                <w:rFonts w:hint="eastAsia" w:ascii="Times New Roman" w:hAnsi="Times New Roman" w:cs="Times New Roman" w:eastAsiaTheme="minorEastAsia"/>
                <w:sz w:val="21"/>
                <w:szCs w:val="21"/>
                <w:vertAlign w:val="subscript"/>
              </w:rPr>
              <w:t>∞</w:t>
            </w: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0-t</w:t>
            </w:r>
            <w:r>
              <w:rPr>
                <w:rFonts w:ascii="Times New Roman" w:hAnsi="Times New Roman" w:cs="Times New Roman" w:eastAsiaTheme="minorEastAsia"/>
                <w:sz w:val="21"/>
                <w:szCs w:val="21"/>
              </w:rPr>
              <w:t>)/AUC</w:t>
            </w:r>
            <w:r>
              <w:rPr>
                <w:rFonts w:ascii="Times New Roman" w:hAnsi="Times New Roman" w:cs="Times New Roman" w:eastAsiaTheme="minorEastAsia"/>
                <w:sz w:val="21"/>
                <w:szCs w:val="21"/>
                <w:vertAlign w:val="subscript"/>
              </w:rPr>
              <w:t>0-</w:t>
            </w:r>
            <w:r>
              <w:rPr>
                <w:rFonts w:hint="eastAsia" w:ascii="Times New Roman" w:hAnsi="Times New Roman" w:cs="Times New Roman" w:eastAsiaTheme="minorEastAsia"/>
                <w:sz w:val="21"/>
                <w:szCs w:val="21"/>
                <w:vertAlign w:val="subscript"/>
              </w:rPr>
              <w:t>∞</w:t>
            </w:r>
            <w:r>
              <w:rPr>
                <w:rFonts w:ascii="Times New Roman" w:hAnsi="Times New Roman" w:cs="Times New Roman" w:eastAsiaTheme="minorEastAsia"/>
                <w:sz w:val="21"/>
                <w:szCs w:val="21"/>
              </w:rPr>
              <w:t>]×100%计算。</w:t>
            </w:r>
          </w:p>
        </w:tc>
      </w:tr>
    </w:tbl>
    <w:p>
      <w:pPr>
        <w:pStyle w:val="4"/>
        <w:keepNext w:val="0"/>
        <w:keepLines w:val="0"/>
        <w:widowControl w:val="0"/>
        <w:numPr>
          <w:ilvl w:val="1"/>
          <w:numId w:val="26"/>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273" w:name="_Toc4780"/>
      <w:bookmarkStart w:id="274" w:name="_Toc521584591"/>
      <w:bookmarkStart w:id="275" w:name="_Toc460952511"/>
      <w:bookmarkStart w:id="276" w:name="_Toc460500132"/>
      <w:bookmarkStart w:id="277" w:name="_Toc25973"/>
      <w:r>
        <w:rPr>
          <w:rFonts w:ascii="Times New Roman" w:hAnsi="Times New Roman" w:eastAsiaTheme="minorEastAsia"/>
          <w:sz w:val="24"/>
          <w:szCs w:val="24"/>
          <w:lang w:val="zh-TW" w:eastAsia="zh-TW"/>
        </w:rPr>
        <w:t>安全性评价指标</w:t>
      </w:r>
      <w:bookmarkEnd w:id="273"/>
      <w:bookmarkEnd w:id="274"/>
      <w:bookmarkEnd w:id="275"/>
      <w:bookmarkEnd w:id="276"/>
      <w:bookmarkEnd w:id="277"/>
    </w:p>
    <w:p>
      <w:pPr>
        <w:pStyle w:val="3"/>
        <w:autoSpaceDE w:val="0"/>
        <w:autoSpaceDN w:val="0"/>
        <w:adjustRightInd w:val="0"/>
        <w:ind w:left="0" w:firstLine="480" w:firstLineChars="200"/>
        <w:contextualSpacing/>
        <w:rPr>
          <w:rFonts w:ascii="Times New Roman" w:hAnsi="Times New Roman" w:cs="Times New Roman" w:eastAsiaTheme="minorEastAsia"/>
          <w:bCs/>
          <w:color w:val="auto"/>
          <w:sz w:val="24"/>
          <w:szCs w:val="24"/>
        </w:rPr>
      </w:pPr>
      <w:r>
        <w:rPr>
          <w:rFonts w:ascii="Times New Roman" w:hAnsi="Times New Roman" w:cs="Times New Roman" w:eastAsiaTheme="minorEastAsia"/>
          <w:color w:val="auto"/>
          <w:sz w:val="24"/>
          <w:szCs w:val="24"/>
          <w:lang w:val="zh-TW" w:eastAsia="zh-TW"/>
        </w:rPr>
        <w:t>包括不良事件，严重不良事件，伴随用药，临床实验室结果</w:t>
      </w:r>
      <w:r>
        <w:rPr>
          <w:rFonts w:ascii="Times New Roman" w:hAnsi="Times New Roman" w:cs="Times New Roman" w:eastAsiaTheme="minorEastAsia"/>
          <w:color w:val="auto"/>
          <w:sz w:val="24"/>
          <w:szCs w:val="24"/>
          <w:lang w:val="zh-TW"/>
        </w:rPr>
        <w:t>的改变</w:t>
      </w:r>
      <w:r>
        <w:rPr>
          <w:rFonts w:ascii="Times New Roman" w:hAnsi="Times New Roman" w:cs="Times New Roman" w:eastAsiaTheme="minorEastAsia"/>
          <w:color w:val="auto"/>
          <w:sz w:val="24"/>
          <w:szCs w:val="24"/>
          <w:lang w:val="zh-TW" w:eastAsia="zh-TW"/>
        </w:rPr>
        <w:t>（血常规、血生化</w:t>
      </w:r>
      <w:r>
        <w:rPr>
          <w:rFonts w:ascii="Times New Roman" w:hAnsi="Times New Roman" w:cs="Times New Roman" w:eastAsiaTheme="minorEastAsia"/>
          <w:color w:val="auto"/>
          <w:sz w:val="24"/>
          <w:szCs w:val="24"/>
          <w:lang w:val="zh-TW"/>
        </w:rPr>
        <w:t>、</w:t>
      </w:r>
      <w:r>
        <w:rPr>
          <w:rFonts w:ascii="Times New Roman" w:hAnsi="Times New Roman" w:cs="Times New Roman" w:eastAsiaTheme="minorEastAsia"/>
          <w:color w:val="auto"/>
          <w:sz w:val="24"/>
          <w:szCs w:val="24"/>
          <w:lang w:val="zh-TW" w:eastAsia="zh-TW"/>
        </w:rPr>
        <w:t>尿常规等），临床症状、生命体征测定结果</w:t>
      </w:r>
      <w:r>
        <w:rPr>
          <w:rFonts w:ascii="Times New Roman" w:hAnsi="Times New Roman" w:cs="Times New Roman" w:eastAsiaTheme="minorEastAsia"/>
          <w:bCs/>
          <w:color w:val="auto"/>
          <w:sz w:val="24"/>
          <w:szCs w:val="24"/>
        </w:rPr>
        <w:t>，12-导联心电图和体格检查结果。</w:t>
      </w:r>
    </w:p>
    <w:p>
      <w:pPr>
        <w:pStyle w:val="4"/>
        <w:keepNext w:val="0"/>
        <w:keepLines w:val="0"/>
        <w:widowControl w:val="0"/>
        <w:numPr>
          <w:ilvl w:val="1"/>
          <w:numId w:val="26"/>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278" w:name="_Toc460952512"/>
      <w:bookmarkStart w:id="279" w:name="_Toc7202"/>
      <w:bookmarkStart w:id="280" w:name="_Toc460500133"/>
      <w:bookmarkStart w:id="281" w:name="_Toc521584592"/>
      <w:bookmarkStart w:id="282" w:name="_Toc12017"/>
      <w:r>
        <w:rPr>
          <w:rFonts w:ascii="Times New Roman" w:hAnsi="Times New Roman" w:eastAsiaTheme="minorEastAsia"/>
          <w:sz w:val="24"/>
          <w:szCs w:val="24"/>
          <w:lang w:val="zh-TW" w:eastAsia="zh-TW"/>
        </w:rPr>
        <w:t>不良事件和严重不良事件评估</w:t>
      </w:r>
      <w:bookmarkEnd w:id="278"/>
      <w:bookmarkEnd w:id="279"/>
      <w:bookmarkEnd w:id="280"/>
      <w:bookmarkEnd w:id="281"/>
      <w:bookmarkEnd w:id="282"/>
    </w:p>
    <w:p>
      <w:pPr>
        <w:pStyle w:val="69"/>
        <w:numPr>
          <w:ilvl w:val="0"/>
          <w:numId w:val="27"/>
        </w:numPr>
        <w:autoSpaceDE w:val="0"/>
        <w:autoSpaceDN w:val="0"/>
        <w:snapToGrid/>
        <w:contextualSpacing/>
        <w:rPr>
          <w:rFonts w:eastAsiaTheme="minorEastAsia"/>
        </w:rPr>
      </w:pPr>
      <w:bookmarkStart w:id="283" w:name="_Toc521584593"/>
      <w:bookmarkStart w:id="284" w:name="_Toc23410"/>
      <w:bookmarkStart w:id="285" w:name="_Toc9284"/>
      <w:r>
        <w:rPr>
          <w:rFonts w:eastAsiaTheme="minorEastAsia"/>
        </w:rPr>
        <w:t>不良事件的定义</w:t>
      </w:r>
      <w:bookmarkEnd w:id="283"/>
      <w:bookmarkEnd w:id="284"/>
      <w:bookmarkEnd w:id="285"/>
    </w:p>
    <w:p>
      <w:pPr>
        <w:pStyle w:val="50"/>
        <w:autoSpaceDE w:val="0"/>
        <w:autoSpaceDN w:val="0"/>
        <w:adjustRightInd w:val="0"/>
        <w:ind w:left="0" w:firstLine="480" w:firstLineChars="200"/>
        <w:contextualSpacing/>
        <w:rPr>
          <w:rFonts w:eastAsiaTheme="minorEastAsia"/>
          <w:bCs/>
          <w:color w:val="auto"/>
          <w:lang w:eastAsia="zh-TW"/>
        </w:rPr>
      </w:pPr>
      <w:r>
        <w:rPr>
          <w:rFonts w:eastAsiaTheme="minorEastAsia"/>
          <w:bCs/>
          <w:color w:val="auto"/>
          <w:lang w:eastAsia="zh-TW"/>
        </w:rPr>
        <w:t>不良事件（Adverse Event，AE）是指病人或临床试验受试者接受一种药品后出现的不良医学事件，但并不一定与治疗有因果关系。</w:t>
      </w:r>
    </w:p>
    <w:p>
      <w:pPr>
        <w:pStyle w:val="69"/>
        <w:numPr>
          <w:ilvl w:val="0"/>
          <w:numId w:val="27"/>
        </w:numPr>
        <w:autoSpaceDE w:val="0"/>
        <w:autoSpaceDN w:val="0"/>
        <w:snapToGrid/>
        <w:contextualSpacing/>
        <w:rPr>
          <w:rFonts w:eastAsiaTheme="minorEastAsia"/>
        </w:rPr>
      </w:pPr>
      <w:bookmarkStart w:id="286" w:name="_Toc521584594"/>
      <w:bookmarkStart w:id="287" w:name="_Toc27481"/>
      <w:bookmarkStart w:id="288" w:name="_Toc31020"/>
      <w:r>
        <w:rPr>
          <w:rFonts w:eastAsiaTheme="minorEastAsia"/>
        </w:rPr>
        <w:t>获取不良事件信息</w:t>
      </w:r>
      <w:bookmarkEnd w:id="286"/>
      <w:bookmarkEnd w:id="287"/>
      <w:bookmarkEnd w:id="288"/>
    </w:p>
    <w:p>
      <w:pPr>
        <w:pStyle w:val="50"/>
        <w:autoSpaceDE w:val="0"/>
        <w:autoSpaceDN w:val="0"/>
        <w:adjustRightInd w:val="0"/>
        <w:ind w:left="0" w:firstLine="480" w:firstLineChars="200"/>
        <w:contextualSpacing/>
        <w:rPr>
          <w:rFonts w:eastAsiaTheme="minorEastAsia"/>
          <w:color w:val="auto"/>
        </w:rPr>
      </w:pPr>
      <w:r>
        <w:rPr>
          <w:rFonts w:eastAsiaTheme="minorEastAsia"/>
          <w:color w:val="auto"/>
          <w:lang w:val="zh-TW" w:eastAsia="zh-TW"/>
        </w:rPr>
        <w:t>研究者应用简洁的语言报告直接观察到的或者受试者自发报告的所有不良事件。另外，试验开始后需定期向受试者询问不良事件情况。</w:t>
      </w:r>
    </w:p>
    <w:p>
      <w:pPr>
        <w:pStyle w:val="69"/>
        <w:numPr>
          <w:ilvl w:val="0"/>
          <w:numId w:val="27"/>
        </w:numPr>
        <w:autoSpaceDE w:val="0"/>
        <w:autoSpaceDN w:val="0"/>
        <w:snapToGrid/>
        <w:contextualSpacing/>
        <w:rPr>
          <w:rFonts w:eastAsiaTheme="minorEastAsia"/>
        </w:rPr>
      </w:pPr>
      <w:bookmarkStart w:id="289" w:name="_Toc7487"/>
      <w:bookmarkStart w:id="290" w:name="_Toc7084"/>
      <w:bookmarkStart w:id="291" w:name="_Toc521584595"/>
      <w:r>
        <w:rPr>
          <w:rFonts w:eastAsiaTheme="minorEastAsia"/>
        </w:rPr>
        <w:t>不良事件记录</w:t>
      </w:r>
      <w:bookmarkEnd w:id="289"/>
      <w:bookmarkEnd w:id="290"/>
      <w:bookmarkEnd w:id="291"/>
    </w:p>
    <w:p>
      <w:pPr>
        <w:pStyle w:val="50"/>
        <w:autoSpaceDE w:val="0"/>
        <w:autoSpaceDN w:val="0"/>
        <w:adjustRightInd w:val="0"/>
        <w:ind w:left="0" w:firstLine="480" w:firstLineChars="200"/>
        <w:contextualSpacing/>
        <w:rPr>
          <w:rFonts w:eastAsiaTheme="minorEastAsia"/>
          <w:color w:val="auto"/>
        </w:rPr>
      </w:pPr>
      <w:r>
        <w:rPr>
          <w:rFonts w:eastAsiaTheme="minorEastAsia"/>
          <w:color w:val="auto"/>
          <w:lang w:val="zh-TW" w:eastAsia="zh-TW"/>
        </w:rPr>
        <w:t>试验期间应如实填写不良事件记录表，包括不良事件的发生时间、严重程度、持续时间、采取的措施和转归等。不良事件应记录在指定的病例报告表的不良事件中。</w:t>
      </w:r>
    </w:p>
    <w:p>
      <w:pPr>
        <w:pStyle w:val="69"/>
        <w:numPr>
          <w:ilvl w:val="0"/>
          <w:numId w:val="27"/>
        </w:numPr>
        <w:autoSpaceDE w:val="0"/>
        <w:autoSpaceDN w:val="0"/>
        <w:snapToGrid/>
        <w:contextualSpacing/>
        <w:rPr>
          <w:rFonts w:eastAsiaTheme="minorEastAsia"/>
        </w:rPr>
      </w:pPr>
      <w:bookmarkStart w:id="292" w:name="_Toc521584596"/>
      <w:bookmarkStart w:id="293" w:name="_Toc17492"/>
      <w:bookmarkStart w:id="294" w:name="_Toc30153"/>
      <w:r>
        <w:rPr>
          <w:rFonts w:eastAsiaTheme="minorEastAsia"/>
        </w:rPr>
        <w:t>不良事件严重程度判定标准</w:t>
      </w:r>
      <w:bookmarkEnd w:id="292"/>
      <w:bookmarkEnd w:id="293"/>
      <w:bookmarkEnd w:id="294"/>
    </w:p>
    <w:p>
      <w:pPr>
        <w:pStyle w:val="50"/>
        <w:autoSpaceDE w:val="0"/>
        <w:autoSpaceDN w:val="0"/>
        <w:adjustRightInd w:val="0"/>
        <w:ind w:left="0" w:firstLine="480" w:firstLineChars="200"/>
        <w:contextualSpacing/>
        <w:rPr>
          <w:rFonts w:eastAsiaTheme="minorEastAsia"/>
          <w:bCs/>
          <w:color w:val="auto"/>
        </w:rPr>
      </w:pPr>
      <w:r>
        <w:rPr>
          <w:rFonts w:hint="eastAsia" w:eastAsiaTheme="minorEastAsia"/>
          <w:bCs/>
          <w:color w:val="auto"/>
        </w:rPr>
        <w:t>参考</w:t>
      </w:r>
      <w:r>
        <w:rPr>
          <w:rFonts w:eastAsiaTheme="minorEastAsia"/>
          <w:bCs/>
          <w:color w:val="auto"/>
        </w:rPr>
        <w:t>CTCAE</w:t>
      </w:r>
      <w:r>
        <w:rPr>
          <w:rFonts w:hint="eastAsia" w:eastAsiaTheme="minorEastAsia"/>
          <w:bCs/>
          <w:color w:val="auto"/>
        </w:rPr>
        <w:t xml:space="preserve"> 5.0</w:t>
      </w:r>
      <w:r>
        <w:rPr>
          <w:rFonts w:eastAsiaTheme="minorEastAsia"/>
          <w:bCs/>
          <w:color w:val="auto"/>
        </w:rPr>
        <w:t>标准判断不良事件严重程度。如果出现未列出的不良事件可参照表</w:t>
      </w:r>
      <w:r>
        <w:rPr>
          <w:rFonts w:hint="eastAsia" w:eastAsiaTheme="minorEastAsia"/>
          <w:bCs/>
          <w:color w:val="auto"/>
        </w:rPr>
        <w:t>5</w:t>
      </w:r>
      <w:r>
        <w:rPr>
          <w:rFonts w:eastAsiaTheme="minorEastAsia"/>
          <w:bCs/>
          <w:color w:val="auto"/>
        </w:rPr>
        <w:t>中的标准：</w:t>
      </w:r>
    </w:p>
    <w:p>
      <w:pPr>
        <w:pStyle w:val="50"/>
        <w:autoSpaceDE w:val="0"/>
        <w:autoSpaceDN w:val="0"/>
        <w:adjustRightInd w:val="0"/>
        <w:ind w:left="0" w:firstLine="0"/>
        <w:contextualSpacing/>
        <w:jc w:val="center"/>
        <w:rPr>
          <w:rFonts w:eastAsiaTheme="minorEastAsia"/>
          <w:b/>
          <w:color w:val="auto"/>
        </w:rPr>
      </w:pPr>
      <w:r>
        <w:rPr>
          <w:rFonts w:eastAsiaTheme="minorEastAsia"/>
          <w:b/>
          <w:color w:val="auto"/>
        </w:rPr>
        <w:t>表</w:t>
      </w:r>
      <w:r>
        <w:rPr>
          <w:rFonts w:hint="eastAsia" w:eastAsiaTheme="minorEastAsia"/>
          <w:b/>
          <w:color w:val="auto"/>
        </w:rPr>
        <w:t>5</w:t>
      </w:r>
      <w:r>
        <w:rPr>
          <w:rFonts w:eastAsiaTheme="minorEastAsia"/>
          <w:b/>
          <w:color w:val="auto"/>
        </w:rPr>
        <w:t xml:space="preserve">  不良事件判定标准</w:t>
      </w:r>
    </w:p>
    <w:tbl>
      <w:tblPr>
        <w:tblStyle w:val="27"/>
        <w:tblW w:w="92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1668" w:type="dxa"/>
            <w:vAlign w:val="center"/>
          </w:tcPr>
          <w:p>
            <w:pPr>
              <w:pStyle w:val="50"/>
              <w:autoSpaceDE w:val="0"/>
              <w:autoSpaceDN w:val="0"/>
              <w:adjustRightInd w:val="0"/>
              <w:spacing w:line="240" w:lineRule="auto"/>
              <w:ind w:left="0" w:firstLine="0"/>
              <w:contextualSpacing/>
              <w:jc w:val="center"/>
              <w:rPr>
                <w:rFonts w:eastAsiaTheme="minorEastAsia"/>
                <w:b/>
                <w:bCs/>
                <w:color w:val="auto"/>
                <w:sz w:val="21"/>
                <w:szCs w:val="21"/>
              </w:rPr>
            </w:pPr>
            <w:r>
              <w:rPr>
                <w:rFonts w:eastAsiaTheme="minorEastAsia"/>
                <w:b/>
                <w:bCs/>
                <w:color w:val="auto"/>
                <w:sz w:val="21"/>
                <w:szCs w:val="21"/>
              </w:rPr>
              <w:t>不良事件分级</w:t>
            </w:r>
          </w:p>
        </w:tc>
        <w:tc>
          <w:tcPr>
            <w:tcW w:w="7567" w:type="dxa"/>
            <w:vAlign w:val="center"/>
          </w:tcPr>
          <w:p>
            <w:pPr>
              <w:pStyle w:val="50"/>
              <w:autoSpaceDE w:val="0"/>
              <w:autoSpaceDN w:val="0"/>
              <w:adjustRightInd w:val="0"/>
              <w:spacing w:line="240" w:lineRule="auto"/>
              <w:ind w:left="0" w:firstLine="0"/>
              <w:contextualSpacing/>
              <w:jc w:val="center"/>
              <w:rPr>
                <w:rFonts w:eastAsiaTheme="minorEastAsia"/>
                <w:b/>
                <w:bCs/>
                <w:color w:val="auto"/>
                <w:sz w:val="21"/>
                <w:szCs w:val="21"/>
              </w:rPr>
            </w:pPr>
            <w:r>
              <w:rPr>
                <w:rFonts w:eastAsiaTheme="minorEastAsia"/>
                <w:b/>
                <w:bCs/>
                <w:color w:val="auto"/>
                <w:sz w:val="21"/>
                <w:szCs w:val="21"/>
              </w:rPr>
              <w:t>严重程度描述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68"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Ⅰ级：</w:t>
            </w:r>
          </w:p>
        </w:tc>
        <w:tc>
          <w:tcPr>
            <w:tcW w:w="7567"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轻度，无临床症状或有轻微临床症状；仅有临床或实验室检查异常；不需治疗。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jc w:val="center"/>
        </w:trPr>
        <w:tc>
          <w:tcPr>
            <w:tcW w:w="1668"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Ⅱ级：</w:t>
            </w:r>
          </w:p>
        </w:tc>
        <w:tc>
          <w:tcPr>
            <w:tcW w:w="7567"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中度，需要微量的、局部的或非侵害性的治疗；与年龄相符的使用工具的日常生活活动（Activities of Daily Living，ADL）受限，使用工具的日常生活指做饭、购物、打电话等。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jc w:val="center"/>
        </w:trPr>
        <w:tc>
          <w:tcPr>
            <w:tcW w:w="1668"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Ⅲ级：</w:t>
            </w:r>
          </w:p>
        </w:tc>
        <w:tc>
          <w:tcPr>
            <w:tcW w:w="7567"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病情重或有医学上严重的症状但是暂时不会危及生命；需要医学干预治疗；日常生活自理（Self care ADL）受限。日常生活自理指：洗澡、穿衣、脱衣、吃饭、去卫生间、吃药等，非卧床不起。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68"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Ⅳ级：</w:t>
            </w:r>
          </w:p>
        </w:tc>
        <w:tc>
          <w:tcPr>
            <w:tcW w:w="7567"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危及生命，需要紧急治疗。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68"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Ⅴ级：</w:t>
            </w:r>
          </w:p>
        </w:tc>
        <w:tc>
          <w:tcPr>
            <w:tcW w:w="7567" w:type="dxa"/>
            <w:vAlign w:val="center"/>
          </w:tcPr>
          <w:p>
            <w:pPr>
              <w:pStyle w:val="50"/>
              <w:autoSpaceDE w:val="0"/>
              <w:autoSpaceDN w:val="0"/>
              <w:adjustRightInd w:val="0"/>
              <w:ind w:left="0" w:firstLine="0"/>
              <w:contextualSpacing/>
              <w:rPr>
                <w:rFonts w:eastAsiaTheme="minorEastAsia"/>
                <w:bCs/>
                <w:color w:val="auto"/>
                <w:sz w:val="21"/>
                <w:szCs w:val="21"/>
                <w:lang w:val="en-GB"/>
              </w:rPr>
            </w:pPr>
            <w:r>
              <w:rPr>
                <w:rFonts w:eastAsiaTheme="minorEastAsia"/>
                <w:bCs/>
                <w:color w:val="auto"/>
                <w:sz w:val="21"/>
                <w:szCs w:val="21"/>
                <w:lang w:val="en-GB"/>
              </w:rPr>
              <w:t>因不良事件致死。</w:t>
            </w:r>
          </w:p>
        </w:tc>
      </w:tr>
    </w:tbl>
    <w:p>
      <w:pPr>
        <w:pStyle w:val="69"/>
        <w:numPr>
          <w:ilvl w:val="0"/>
          <w:numId w:val="27"/>
        </w:numPr>
        <w:autoSpaceDE w:val="0"/>
        <w:autoSpaceDN w:val="0"/>
        <w:snapToGrid/>
        <w:contextualSpacing/>
        <w:rPr>
          <w:rFonts w:eastAsiaTheme="minorEastAsia"/>
        </w:rPr>
      </w:pPr>
      <w:bookmarkStart w:id="295" w:name="_Toc17572"/>
      <w:bookmarkStart w:id="296" w:name="_Toc521584597"/>
      <w:bookmarkStart w:id="297" w:name="_Toc25113"/>
      <w:r>
        <w:rPr>
          <w:rFonts w:eastAsiaTheme="minorEastAsia"/>
        </w:rPr>
        <w:t>不良事件与试验药物关系的判断标准</w:t>
      </w:r>
      <w:bookmarkEnd w:id="295"/>
      <w:bookmarkEnd w:id="296"/>
      <w:bookmarkEnd w:id="297"/>
    </w:p>
    <w:p>
      <w:pPr>
        <w:pStyle w:val="50"/>
        <w:autoSpaceDE w:val="0"/>
        <w:autoSpaceDN w:val="0"/>
        <w:adjustRightInd w:val="0"/>
        <w:ind w:left="0" w:firstLine="480" w:firstLineChars="200"/>
        <w:contextualSpacing/>
        <w:rPr>
          <w:rFonts w:eastAsiaTheme="minorEastAsia"/>
          <w:color w:val="auto"/>
        </w:rPr>
      </w:pPr>
      <w:r>
        <w:rPr>
          <w:rFonts w:eastAsiaTheme="minorEastAsia"/>
          <w:color w:val="auto"/>
          <w:lang w:val="zh-TW" w:eastAsia="zh-TW"/>
        </w:rPr>
        <w:t>根据药物与不良事件因果关系判断标准，将不良事件与受试药物应用的相关性分为五级，肯定有关、很可能有关、可能有关、可能无关、肯定无关。将肯定有关、很可能有关、可能有关均列为药物不良反应。将药物不良反应病例数总和作为分子，全部可供不良反应评价的入选病例作为分母，计算不良反应发生率。</w:t>
      </w:r>
    </w:p>
    <w:p>
      <w:pPr>
        <w:pStyle w:val="50"/>
        <w:autoSpaceDE w:val="0"/>
        <w:autoSpaceDN w:val="0"/>
        <w:adjustRightInd w:val="0"/>
        <w:ind w:left="0" w:firstLine="482" w:firstLineChars="200"/>
        <w:contextualSpacing/>
        <w:rPr>
          <w:rFonts w:eastAsiaTheme="minorEastAsia"/>
          <w:color w:val="auto"/>
          <w:lang w:val="zh-TW" w:eastAsia="zh-TW"/>
        </w:rPr>
      </w:pPr>
      <w:bookmarkStart w:id="298" w:name="_Toc444610198"/>
      <w:r>
        <w:rPr>
          <w:rFonts w:hint="eastAsia" w:ascii="宋体" w:hAnsi="宋体" w:eastAsia="宋体" w:cs="宋体"/>
          <w:b/>
          <w:color w:val="auto"/>
          <w:lang w:val="zh-TW" w:eastAsia="zh-TW"/>
        </w:rPr>
        <w:t>①</w:t>
      </w:r>
      <w:r>
        <w:rPr>
          <w:rFonts w:eastAsiaTheme="minorEastAsia"/>
          <w:b/>
          <w:color w:val="auto"/>
          <w:lang w:val="zh-TW" w:eastAsia="zh-TW"/>
        </w:rPr>
        <w:t>肯定有关：</w:t>
      </w:r>
      <w:r>
        <w:rPr>
          <w:rFonts w:eastAsiaTheme="minorEastAsia"/>
          <w:color w:val="auto"/>
          <w:lang w:val="zh-TW" w:eastAsia="zh-TW"/>
        </w:rPr>
        <w:t>符合所疑药物已知的反应类型，符合用药后合理的时间顺序，减量或停药后不良事件减轻或消失，再次给药后又出现该不良事件。</w:t>
      </w:r>
    </w:p>
    <w:p>
      <w:pPr>
        <w:pStyle w:val="50"/>
        <w:autoSpaceDE w:val="0"/>
        <w:autoSpaceDN w:val="0"/>
        <w:adjustRightInd w:val="0"/>
        <w:ind w:left="0" w:firstLine="482" w:firstLineChars="200"/>
        <w:contextualSpacing/>
        <w:rPr>
          <w:rFonts w:eastAsiaTheme="minorEastAsia"/>
          <w:color w:val="auto"/>
          <w:lang w:val="zh-TW" w:eastAsia="zh-TW"/>
        </w:rPr>
      </w:pPr>
      <w:r>
        <w:rPr>
          <w:rFonts w:hint="eastAsia" w:ascii="宋体" w:hAnsi="宋体" w:eastAsia="宋体" w:cs="宋体"/>
          <w:b/>
          <w:color w:val="auto"/>
          <w:lang w:val="zh-TW" w:eastAsia="zh-TW"/>
        </w:rPr>
        <w:t>②</w:t>
      </w:r>
      <w:r>
        <w:rPr>
          <w:rFonts w:eastAsiaTheme="minorEastAsia"/>
          <w:b/>
          <w:color w:val="auto"/>
          <w:lang w:val="zh-TW" w:eastAsia="zh-TW"/>
        </w:rPr>
        <w:t>很可能有关：</w:t>
      </w:r>
      <w:r>
        <w:rPr>
          <w:rFonts w:eastAsiaTheme="minorEastAsia"/>
          <w:color w:val="auto"/>
          <w:lang w:val="zh-TW" w:eastAsia="zh-TW"/>
        </w:rPr>
        <w:t>符合所疑药物已知的反应类型，符合用药后合理的时间顺序，减量或停药后不良事件减轻或消失，但受试者临床状态或其它原因也可能产生该事件。</w:t>
      </w:r>
    </w:p>
    <w:p>
      <w:pPr>
        <w:pStyle w:val="50"/>
        <w:autoSpaceDE w:val="0"/>
        <w:autoSpaceDN w:val="0"/>
        <w:adjustRightInd w:val="0"/>
        <w:ind w:left="0" w:firstLine="482" w:firstLineChars="200"/>
        <w:contextualSpacing/>
        <w:rPr>
          <w:rFonts w:eastAsiaTheme="minorEastAsia"/>
          <w:color w:val="auto"/>
          <w:lang w:val="zh-TW" w:eastAsia="zh-TW"/>
        </w:rPr>
      </w:pPr>
      <w:r>
        <w:rPr>
          <w:rFonts w:hint="eastAsia" w:ascii="宋体" w:hAnsi="宋体" w:eastAsia="宋体" w:cs="宋体"/>
          <w:b/>
          <w:color w:val="auto"/>
          <w:lang w:val="zh-TW" w:eastAsia="zh-TW"/>
        </w:rPr>
        <w:t>③</w:t>
      </w:r>
      <w:r>
        <w:rPr>
          <w:rFonts w:eastAsiaTheme="minorEastAsia"/>
          <w:b/>
          <w:color w:val="auto"/>
          <w:lang w:val="zh-TW" w:eastAsia="zh-TW"/>
        </w:rPr>
        <w:t>可能有关：</w:t>
      </w:r>
      <w:r>
        <w:rPr>
          <w:rFonts w:eastAsiaTheme="minorEastAsia"/>
          <w:color w:val="auto"/>
          <w:lang w:val="zh-TW" w:eastAsia="zh-TW"/>
        </w:rPr>
        <w:t>符合所疑药物已知的反应类型，符合用药后合理的时间顺序，减量或停药后不良事件减轻或不明显，但受试者的临床状态或其它原因可解释该事件。</w:t>
      </w:r>
    </w:p>
    <w:p>
      <w:pPr>
        <w:pStyle w:val="50"/>
        <w:autoSpaceDE w:val="0"/>
        <w:autoSpaceDN w:val="0"/>
        <w:adjustRightInd w:val="0"/>
        <w:ind w:left="0" w:firstLine="482" w:firstLineChars="200"/>
        <w:contextualSpacing/>
        <w:rPr>
          <w:rFonts w:eastAsiaTheme="minorEastAsia"/>
          <w:color w:val="auto"/>
          <w:lang w:val="zh-TW" w:eastAsia="zh-TW"/>
        </w:rPr>
      </w:pPr>
      <w:r>
        <w:rPr>
          <w:rFonts w:hint="eastAsia" w:ascii="宋体" w:hAnsi="宋体" w:eastAsia="宋体" w:cs="宋体"/>
          <w:b/>
          <w:color w:val="auto"/>
          <w:lang w:val="zh-TW" w:eastAsia="zh-TW"/>
        </w:rPr>
        <w:t>④</w:t>
      </w:r>
      <w:r>
        <w:rPr>
          <w:rFonts w:eastAsiaTheme="minorEastAsia"/>
          <w:b/>
          <w:color w:val="auto"/>
          <w:lang w:val="zh-TW" w:eastAsia="zh-TW"/>
        </w:rPr>
        <w:t>可能无关：</w:t>
      </w:r>
      <w:r>
        <w:rPr>
          <w:rFonts w:eastAsiaTheme="minorEastAsia"/>
          <w:color w:val="auto"/>
          <w:lang w:val="zh-TW" w:eastAsia="zh-TW"/>
        </w:rPr>
        <w:t>不太符合所疑药物已知的反应类型，不太符合用药后合理的时间顺序，受试者的临床状态或其它原因也有可能产生该事件。</w:t>
      </w:r>
    </w:p>
    <w:p>
      <w:pPr>
        <w:pStyle w:val="50"/>
        <w:autoSpaceDE w:val="0"/>
        <w:autoSpaceDN w:val="0"/>
        <w:adjustRightInd w:val="0"/>
        <w:ind w:left="0" w:firstLine="482" w:firstLineChars="200"/>
        <w:contextualSpacing/>
        <w:rPr>
          <w:rFonts w:eastAsiaTheme="minorEastAsia"/>
          <w:color w:val="auto"/>
          <w:lang w:val="zh-TW" w:eastAsia="zh-TW"/>
        </w:rPr>
      </w:pPr>
      <w:r>
        <w:rPr>
          <w:rFonts w:hint="eastAsia" w:ascii="宋体" w:hAnsi="宋体" w:eastAsia="宋体" w:cs="宋体"/>
          <w:b/>
          <w:color w:val="auto"/>
          <w:lang w:val="zh-TW" w:eastAsia="zh-TW"/>
        </w:rPr>
        <w:t>⑤</w:t>
      </w:r>
      <w:r>
        <w:rPr>
          <w:rFonts w:eastAsiaTheme="minorEastAsia"/>
          <w:b/>
          <w:color w:val="auto"/>
          <w:lang w:val="zh-TW" w:eastAsia="zh-TW"/>
        </w:rPr>
        <w:t>肯定无关：</w:t>
      </w:r>
      <w:r>
        <w:rPr>
          <w:rFonts w:eastAsiaTheme="minorEastAsia"/>
          <w:color w:val="auto"/>
          <w:lang w:val="zh-TW" w:eastAsia="zh-TW"/>
        </w:rPr>
        <w:t>不符合所疑药物已知的反应类型，不符合用药后合理的时间顺序，受试者的临床状态或其它原因也可解释该反应，排除临床症状或其它原因后，事件减轻或消失。</w:t>
      </w:r>
    </w:p>
    <w:p>
      <w:pPr>
        <w:pStyle w:val="69"/>
        <w:numPr>
          <w:ilvl w:val="0"/>
          <w:numId w:val="27"/>
        </w:numPr>
        <w:autoSpaceDE w:val="0"/>
        <w:autoSpaceDN w:val="0"/>
        <w:snapToGrid/>
        <w:contextualSpacing/>
        <w:rPr>
          <w:rFonts w:eastAsiaTheme="minorEastAsia"/>
        </w:rPr>
      </w:pPr>
      <w:bookmarkStart w:id="299" w:name="_Toc9519"/>
      <w:bookmarkStart w:id="300" w:name="_Toc10475"/>
      <w:bookmarkStart w:id="301" w:name="_Toc521584598"/>
      <w:r>
        <w:rPr>
          <w:rFonts w:eastAsiaTheme="minorEastAsia"/>
        </w:rPr>
        <w:t>视为不良事件或严重不良事件的临床实验室检测异常和其他异常情况评估</w:t>
      </w:r>
      <w:bookmarkEnd w:id="298"/>
      <w:bookmarkEnd w:id="299"/>
      <w:bookmarkEnd w:id="300"/>
      <w:bookmarkEnd w:id="301"/>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无临床意义的实验室检测异常不作为</w:t>
      </w:r>
      <w:r>
        <w:rPr>
          <w:rFonts w:eastAsiaTheme="minorEastAsia"/>
          <w:color w:val="auto"/>
        </w:rPr>
        <w:t>AE</w:t>
      </w:r>
      <w:r>
        <w:rPr>
          <w:rFonts w:eastAsiaTheme="minorEastAsia"/>
          <w:color w:val="auto"/>
          <w:lang w:val="zh-TW" w:eastAsia="zh-TW"/>
        </w:rPr>
        <w:t>或</w:t>
      </w:r>
      <w:r>
        <w:rPr>
          <w:rFonts w:eastAsiaTheme="minorEastAsia"/>
          <w:color w:val="auto"/>
        </w:rPr>
        <w:t>SAE</w:t>
      </w:r>
      <w:r>
        <w:rPr>
          <w:rFonts w:eastAsiaTheme="minorEastAsia"/>
          <w:color w:val="auto"/>
          <w:lang w:val="zh-TW" w:eastAsia="zh-TW"/>
        </w:rPr>
        <w:t>来记录。有临床意义的实验室检测异常（签为</w:t>
      </w:r>
      <w:r>
        <w:rPr>
          <w:rFonts w:eastAsiaTheme="minorEastAsia"/>
          <w:color w:val="auto"/>
          <w:lang w:val="zh-TW"/>
        </w:rPr>
        <w:t>“异常有临床意义”，</w:t>
      </w:r>
      <w:r>
        <w:rPr>
          <w:rFonts w:eastAsiaTheme="minorEastAsia"/>
          <w:color w:val="auto"/>
          <w:lang w:val="zh-TW" w:eastAsia="zh-TW"/>
        </w:rPr>
        <w:t>如</w:t>
      </w:r>
      <w:r>
        <w:rPr>
          <w:rFonts w:eastAsiaTheme="minorEastAsia"/>
          <w:color w:val="auto"/>
          <w:lang w:val="zh-TW"/>
        </w:rPr>
        <w:t>：</w:t>
      </w:r>
      <w:r>
        <w:rPr>
          <w:rFonts w:eastAsiaTheme="minorEastAsia"/>
          <w:color w:val="auto"/>
          <w:lang w:val="zh-TW" w:eastAsia="zh-TW"/>
        </w:rPr>
        <w:t>临床</w:t>
      </w:r>
      <w:r>
        <w:rPr>
          <w:rFonts w:eastAsiaTheme="minorEastAsia"/>
          <w:color w:val="auto"/>
          <w:lang w:val="zh-TW"/>
        </w:rPr>
        <w:t>血常规、尿常规，等</w:t>
      </w:r>
      <w:r>
        <w:rPr>
          <w:rFonts w:eastAsiaTheme="minorEastAsia"/>
          <w:color w:val="auto"/>
          <w:lang w:val="zh-TW" w:eastAsia="zh-TW"/>
        </w:rPr>
        <w:t>）及其他异常情况评估（如</w:t>
      </w:r>
      <w:r>
        <w:rPr>
          <w:rFonts w:eastAsiaTheme="minorEastAsia"/>
          <w:color w:val="auto"/>
          <w:lang w:val="zh-TW"/>
        </w:rPr>
        <w:t>：12-导联</w:t>
      </w:r>
      <w:r>
        <w:rPr>
          <w:rFonts w:eastAsiaTheme="minorEastAsia"/>
          <w:color w:val="auto"/>
          <w:lang w:val="zh-TW" w:eastAsia="zh-TW"/>
        </w:rPr>
        <w:t>心电图、生命体征）必须作为</w:t>
      </w:r>
      <w:r>
        <w:rPr>
          <w:rFonts w:eastAsiaTheme="minorEastAsia"/>
          <w:color w:val="auto"/>
        </w:rPr>
        <w:t>AE</w:t>
      </w:r>
      <w:r>
        <w:rPr>
          <w:rFonts w:eastAsiaTheme="minorEastAsia"/>
          <w:color w:val="auto"/>
          <w:lang w:val="zh-TW" w:eastAsia="zh-TW"/>
        </w:rPr>
        <w:t>以及</w:t>
      </w:r>
      <w:r>
        <w:rPr>
          <w:rFonts w:eastAsiaTheme="minorEastAsia"/>
          <w:color w:val="auto"/>
        </w:rPr>
        <w:t>SAE</w:t>
      </w:r>
      <w:r>
        <w:rPr>
          <w:rFonts w:eastAsiaTheme="minorEastAsia"/>
          <w:color w:val="auto"/>
          <w:lang w:val="zh-TW" w:eastAsia="zh-TW"/>
        </w:rPr>
        <w:t>来记录。如果符合</w:t>
      </w:r>
      <w:r>
        <w:rPr>
          <w:rFonts w:eastAsiaTheme="minorEastAsia"/>
          <w:color w:val="auto"/>
        </w:rPr>
        <w:t>AE</w:t>
      </w:r>
      <w:r>
        <w:rPr>
          <w:rFonts w:eastAsiaTheme="minorEastAsia"/>
          <w:color w:val="auto"/>
          <w:lang w:val="zh-TW" w:eastAsia="zh-TW"/>
        </w:rPr>
        <w:t>或</w:t>
      </w:r>
      <w:r>
        <w:rPr>
          <w:rFonts w:eastAsiaTheme="minorEastAsia"/>
          <w:color w:val="auto"/>
        </w:rPr>
        <w:t>SAE</w:t>
      </w:r>
      <w:r>
        <w:rPr>
          <w:rFonts w:eastAsiaTheme="minorEastAsia"/>
          <w:color w:val="auto"/>
          <w:lang w:val="zh-TW" w:eastAsia="zh-TW"/>
        </w:rPr>
        <w:t>定义，则必须作为</w:t>
      </w:r>
      <w:r>
        <w:rPr>
          <w:rFonts w:eastAsiaTheme="minorEastAsia"/>
          <w:color w:val="auto"/>
        </w:rPr>
        <w:t>AE</w:t>
      </w:r>
      <w:r>
        <w:rPr>
          <w:rFonts w:eastAsiaTheme="minorEastAsia"/>
          <w:color w:val="auto"/>
          <w:lang w:val="zh-TW" w:eastAsia="zh-TW"/>
        </w:rPr>
        <w:t>或</w:t>
      </w:r>
      <w:r>
        <w:rPr>
          <w:rFonts w:eastAsiaTheme="minorEastAsia"/>
          <w:color w:val="auto"/>
        </w:rPr>
        <w:t>SAE</w:t>
      </w:r>
      <w:r>
        <w:rPr>
          <w:rFonts w:eastAsiaTheme="minorEastAsia"/>
          <w:color w:val="auto"/>
          <w:lang w:val="zh-TW" w:eastAsia="zh-TW"/>
        </w:rPr>
        <w:t>进行记录。如果实验室检测异常属于综合征的一部分，则记录综合征或诊断结果（如贫血）而非实验室检测结果（即血红蛋白减少）。</w:t>
      </w:r>
    </w:p>
    <w:p>
      <w:pPr>
        <w:pStyle w:val="69"/>
        <w:numPr>
          <w:ilvl w:val="0"/>
          <w:numId w:val="27"/>
        </w:numPr>
        <w:autoSpaceDE w:val="0"/>
        <w:autoSpaceDN w:val="0"/>
        <w:snapToGrid/>
        <w:contextualSpacing/>
        <w:rPr>
          <w:rFonts w:eastAsiaTheme="minorEastAsia"/>
        </w:rPr>
      </w:pPr>
      <w:bookmarkStart w:id="302" w:name="_Toc11817"/>
      <w:bookmarkStart w:id="303" w:name="_Toc444610203"/>
      <w:bookmarkStart w:id="304" w:name="_Toc10367"/>
      <w:bookmarkStart w:id="305" w:name="_Toc521584599"/>
      <w:r>
        <w:rPr>
          <w:rFonts w:eastAsiaTheme="minorEastAsia"/>
        </w:rPr>
        <w:t>不良事件处理</w:t>
      </w:r>
      <w:bookmarkEnd w:id="302"/>
      <w:bookmarkEnd w:id="303"/>
      <w:bookmarkEnd w:id="304"/>
      <w:bookmarkEnd w:id="305"/>
    </w:p>
    <w:p>
      <w:pPr>
        <w:widowControl w:val="0"/>
        <w:autoSpaceDE w:val="0"/>
        <w:autoSpaceDN w:val="0"/>
        <w:adjustRightInd w:val="0"/>
        <w:ind w:left="0" w:firstLine="480" w:firstLineChars="200"/>
        <w:contextualSpacing/>
        <w:rPr>
          <w:rFonts w:eastAsiaTheme="minorEastAsia"/>
          <w:lang w:val="zh-TW" w:eastAsia="zh-TW"/>
        </w:rPr>
      </w:pPr>
      <w:r>
        <w:rPr>
          <w:rFonts w:eastAsiaTheme="minorEastAsia"/>
          <w:lang w:val="zh-TW" w:eastAsia="zh-TW"/>
        </w:rPr>
        <w:t>所有临床事件和有临床意义的实验室不良反应将</w:t>
      </w:r>
      <w:r>
        <w:rPr>
          <w:rFonts w:hint="eastAsia" w:eastAsiaTheme="minorEastAsia"/>
          <w:lang w:eastAsia="zh-CN"/>
        </w:rPr>
        <w:t>参考</w:t>
      </w:r>
      <w:r>
        <w:rPr>
          <w:rFonts w:eastAsiaTheme="minorEastAsia"/>
          <w:bCs/>
          <w:lang w:val="zh-TW" w:eastAsia="zh-TW"/>
        </w:rPr>
        <w:t>常见不良反应事件评价标准 CTCAE</w:t>
      </w:r>
      <w:r>
        <w:rPr>
          <w:rFonts w:hint="eastAsia" w:eastAsiaTheme="minorEastAsia"/>
          <w:bCs/>
          <w:lang w:eastAsia="zh-CN"/>
        </w:rPr>
        <w:t>5.0</w:t>
      </w:r>
      <w:r>
        <w:rPr>
          <w:rFonts w:eastAsiaTheme="minorEastAsia"/>
          <w:bCs/>
          <w:lang w:val="zh-TW" w:eastAsia="zh-TW"/>
        </w:rPr>
        <w:t>版和附录</w:t>
      </w:r>
      <w:r>
        <w:rPr>
          <w:rFonts w:eastAsiaTheme="minorEastAsia"/>
          <w:bCs/>
          <w:lang w:eastAsia="zh-CN"/>
        </w:rPr>
        <w:t>3</w:t>
      </w:r>
      <w:r>
        <w:rPr>
          <w:rFonts w:eastAsiaTheme="minorEastAsia"/>
          <w:bCs/>
          <w:lang w:val="zh-TW" w:eastAsia="zh-TW"/>
        </w:rPr>
        <w:t>中详细说明</w:t>
      </w:r>
      <w:r>
        <w:rPr>
          <w:rFonts w:hint="eastAsia" w:eastAsiaTheme="minorEastAsia"/>
          <w:bCs/>
          <w:lang w:val="zh-TW" w:eastAsia="zh-CN"/>
        </w:rPr>
        <w:t>，</w:t>
      </w:r>
      <w:r>
        <w:rPr>
          <w:rFonts w:hint="eastAsia" w:eastAsiaTheme="minorEastAsia"/>
          <w:bCs/>
          <w:lang w:eastAsia="zh-CN"/>
        </w:rPr>
        <w:t>并结合研究医生的临床诊疗经验</w:t>
      </w:r>
      <w:r>
        <w:rPr>
          <w:rFonts w:eastAsiaTheme="minorEastAsia"/>
          <w:lang w:val="zh-TW" w:eastAsia="zh-TW"/>
        </w:rPr>
        <w:t>进行分级。治疗引发的</w:t>
      </w:r>
      <w:bookmarkStart w:id="306" w:name="OLE_LINK7"/>
      <w:r>
        <w:rPr>
          <w:rFonts w:eastAsiaTheme="minorEastAsia"/>
          <w:lang w:val="zh-TW" w:eastAsia="zh-CN"/>
        </w:rPr>
        <w:t>不良反应</w:t>
      </w:r>
      <w:bookmarkEnd w:id="306"/>
      <w:r>
        <w:rPr>
          <w:rFonts w:eastAsiaTheme="minorEastAsia"/>
          <w:lang w:val="zh-TW" w:eastAsia="zh-TW"/>
        </w:rPr>
        <w:t>将由研究者进行记录</w:t>
      </w:r>
      <w:r>
        <w:rPr>
          <w:rFonts w:hint="eastAsia" w:eastAsiaTheme="minorEastAsia"/>
          <w:lang w:val="zh-TW" w:eastAsia="zh-CN"/>
        </w:rPr>
        <w:t>和评判</w:t>
      </w:r>
      <w:r>
        <w:rPr>
          <w:rFonts w:eastAsiaTheme="minorEastAsia"/>
          <w:lang w:val="zh-TW" w:eastAsia="zh-TW"/>
        </w:rPr>
        <w:t>。无论是否被视为与治疗相关，均必须定期监测发生</w:t>
      </w:r>
      <w:r>
        <w:rPr>
          <w:rFonts w:eastAsiaTheme="minorEastAsia"/>
          <w:lang w:eastAsia="zh-CN"/>
        </w:rPr>
        <w:t>AE</w:t>
      </w:r>
      <w:r>
        <w:rPr>
          <w:rFonts w:eastAsiaTheme="minorEastAsia"/>
          <w:lang w:val="zh-TW" w:eastAsia="zh-TW"/>
        </w:rPr>
        <w:t>的所有受试者（如果可行），直至症状消退、任何异常实验室值恢复正常或恢复至基线水平或认为它们不可逆，或直至可恰当解释所观察到的变化。对于</w:t>
      </w:r>
      <w:r>
        <w:rPr>
          <w:rFonts w:eastAsiaTheme="minorEastAsia"/>
          <w:lang w:eastAsia="zh-CN"/>
        </w:rPr>
        <w:t>3</w:t>
      </w:r>
      <w:r>
        <w:rPr>
          <w:rFonts w:eastAsiaTheme="minorEastAsia"/>
          <w:lang w:val="zh-TW" w:eastAsia="zh-TW"/>
        </w:rPr>
        <w:t>或</w:t>
      </w:r>
      <w:r>
        <w:rPr>
          <w:rFonts w:eastAsiaTheme="minorEastAsia"/>
          <w:lang w:eastAsia="zh-CN"/>
        </w:rPr>
        <w:t>4</w:t>
      </w:r>
      <w:r>
        <w:rPr>
          <w:rFonts w:eastAsiaTheme="minorEastAsia"/>
          <w:lang w:val="zh-TW" w:eastAsia="zh-TW"/>
        </w:rPr>
        <w:t>级具有有临床意义的实验室检测异常，如果切实可行，则应通过重复检测进行确认，最好在收到初始检测结果后的</w:t>
      </w:r>
      <w:r>
        <w:rPr>
          <w:rFonts w:eastAsiaTheme="minorEastAsia"/>
          <w:lang w:eastAsia="zh-CN"/>
        </w:rPr>
        <w:t>3</w:t>
      </w:r>
      <w:r>
        <w:rPr>
          <w:rFonts w:eastAsiaTheme="minorEastAsia"/>
          <w:lang w:val="zh-TW" w:eastAsia="zh-TW"/>
        </w:rPr>
        <w:t>个</w:t>
      </w:r>
      <w:r>
        <w:rPr>
          <w:rFonts w:eastAsiaTheme="minorEastAsia"/>
          <w:lang w:eastAsia="zh-CN"/>
        </w:rPr>
        <w:t>工作日</w:t>
      </w:r>
      <w:r>
        <w:rPr>
          <w:rFonts w:eastAsiaTheme="minorEastAsia"/>
          <w:lang w:val="zh-TW" w:eastAsia="zh-TW"/>
        </w:rPr>
        <w:t>内进行。</w:t>
      </w:r>
    </w:p>
    <w:p>
      <w:pPr>
        <w:pStyle w:val="69"/>
        <w:numPr>
          <w:ilvl w:val="0"/>
          <w:numId w:val="27"/>
        </w:numPr>
        <w:autoSpaceDE w:val="0"/>
        <w:autoSpaceDN w:val="0"/>
        <w:snapToGrid/>
        <w:contextualSpacing/>
        <w:rPr>
          <w:rFonts w:eastAsiaTheme="minorEastAsia"/>
        </w:rPr>
      </w:pPr>
      <w:bookmarkStart w:id="307" w:name="_Toc7573"/>
      <w:bookmarkStart w:id="308" w:name="_Toc521584600"/>
      <w:bookmarkStart w:id="309" w:name="_Toc20569"/>
      <w:r>
        <w:rPr>
          <w:rFonts w:eastAsiaTheme="minorEastAsia"/>
        </w:rPr>
        <w:t>严重不良事件定义</w:t>
      </w:r>
      <w:bookmarkEnd w:id="307"/>
      <w:bookmarkEnd w:id="308"/>
      <w:bookmarkEnd w:id="309"/>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严重不良事件（</w:t>
      </w:r>
      <w:r>
        <w:rPr>
          <w:rFonts w:eastAsiaTheme="minorEastAsia"/>
          <w:color w:val="auto"/>
        </w:rPr>
        <w:t>Serious Adverse Event</w:t>
      </w:r>
      <w:r>
        <w:rPr>
          <w:rFonts w:eastAsiaTheme="minorEastAsia"/>
          <w:color w:val="auto"/>
          <w:lang w:val="zh-TW" w:eastAsia="zh-TW"/>
        </w:rPr>
        <w:t>，</w:t>
      </w:r>
      <w:r>
        <w:rPr>
          <w:rFonts w:eastAsiaTheme="minorEastAsia"/>
          <w:color w:val="auto"/>
        </w:rPr>
        <w:t>SAE</w:t>
      </w:r>
      <w:r>
        <w:rPr>
          <w:rFonts w:eastAsiaTheme="minorEastAsia"/>
          <w:color w:val="auto"/>
          <w:lang w:val="zh-TW" w:eastAsia="zh-TW"/>
        </w:rPr>
        <w:t>），是指因使用药品</w:t>
      </w:r>
      <w:r>
        <w:rPr>
          <w:rFonts w:hint="eastAsia" w:eastAsiaTheme="minorEastAsia"/>
          <w:color w:val="auto"/>
          <w:lang w:val="zh-TW"/>
        </w:rPr>
        <w:t>后出现以</w:t>
      </w:r>
      <w:r>
        <w:rPr>
          <w:rFonts w:eastAsiaTheme="minorEastAsia"/>
          <w:color w:val="auto"/>
          <w:lang w:val="zh-TW" w:eastAsia="zh-TW"/>
        </w:rPr>
        <w:t>下损害情形之一的反应：</w:t>
      </w:r>
      <w:r>
        <w:rPr>
          <w:rFonts w:eastAsiaTheme="minorEastAsia"/>
          <w:color w:val="auto"/>
        </w:rPr>
        <w:t>1</w:t>
      </w:r>
      <w:r>
        <w:rPr>
          <w:rFonts w:eastAsiaTheme="minorEastAsia"/>
          <w:color w:val="auto"/>
          <w:lang w:val="zh-TW" w:eastAsia="zh-TW"/>
        </w:rPr>
        <w:t>）导致死亡；</w:t>
      </w:r>
      <w:r>
        <w:rPr>
          <w:rFonts w:eastAsiaTheme="minorEastAsia"/>
          <w:color w:val="auto"/>
        </w:rPr>
        <w:t>2</w:t>
      </w:r>
      <w:r>
        <w:rPr>
          <w:rFonts w:eastAsiaTheme="minorEastAsia"/>
          <w:color w:val="auto"/>
          <w:lang w:val="zh-TW" w:eastAsia="zh-TW"/>
        </w:rPr>
        <w:t>）危及生命；</w:t>
      </w:r>
      <w:r>
        <w:rPr>
          <w:rFonts w:eastAsiaTheme="minorEastAsia"/>
          <w:color w:val="auto"/>
        </w:rPr>
        <w:t>3</w:t>
      </w:r>
      <w:r>
        <w:rPr>
          <w:rFonts w:eastAsiaTheme="minorEastAsia"/>
          <w:color w:val="auto"/>
          <w:lang w:val="zh-TW" w:eastAsia="zh-TW"/>
        </w:rPr>
        <w:t>）致癌、致畸、致出生缺陷；4）导致显著的或者永久的人体伤残或者器官功能的损伤；5）导致住院或者住院时间延长（除外因医保报销原因住院、</w:t>
      </w:r>
      <w:r>
        <w:rPr>
          <w:rFonts w:eastAsiaTheme="minorEastAsia"/>
          <w:color w:val="auto"/>
          <w:lang w:val="zh-TW"/>
        </w:rPr>
        <w:t>择期手术、或</w:t>
      </w:r>
      <w:r>
        <w:rPr>
          <w:rFonts w:eastAsiaTheme="minorEastAsia"/>
          <w:color w:val="auto"/>
          <w:lang w:val="zh-TW" w:eastAsia="zh-TW"/>
        </w:rPr>
        <w:t>未得到研究医生同意而住院）；6）导致其他重要医学事件，如不进行治疗可能出现上述所列情况的</w:t>
      </w:r>
      <w:r>
        <w:rPr>
          <w:rFonts w:eastAsiaTheme="minorEastAsia"/>
          <w:color w:val="auto"/>
          <w:lang w:val="zh-TW"/>
        </w:rPr>
        <w:t>。</w:t>
      </w:r>
    </w:p>
    <w:p>
      <w:pPr>
        <w:pStyle w:val="69"/>
        <w:numPr>
          <w:ilvl w:val="0"/>
          <w:numId w:val="27"/>
        </w:numPr>
        <w:autoSpaceDE w:val="0"/>
        <w:autoSpaceDN w:val="0"/>
        <w:snapToGrid/>
        <w:contextualSpacing/>
        <w:rPr>
          <w:rFonts w:eastAsiaTheme="minorEastAsia"/>
        </w:rPr>
      </w:pPr>
      <w:bookmarkStart w:id="310" w:name="_Toc15612"/>
      <w:bookmarkStart w:id="311" w:name="_Toc521584601"/>
      <w:bookmarkStart w:id="312" w:name="_Toc20919"/>
      <w:r>
        <w:rPr>
          <w:rFonts w:eastAsiaTheme="minorEastAsia"/>
        </w:rPr>
        <w:t>非预期不良反应定义</w:t>
      </w:r>
      <w:bookmarkEnd w:id="310"/>
      <w:bookmarkEnd w:id="311"/>
      <w:bookmarkEnd w:id="312"/>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非预期不良反应</w:t>
      </w:r>
      <w:r>
        <w:rPr>
          <w:rFonts w:hint="eastAsia" w:eastAsiaTheme="minorEastAsia"/>
          <w:color w:val="auto"/>
          <w:lang w:val="zh-TW" w:eastAsia="zh-CN"/>
        </w:rPr>
        <w:t>（</w:t>
      </w:r>
      <w:r>
        <w:rPr>
          <w:rFonts w:hint="eastAsia" w:eastAsiaTheme="minorEastAsia"/>
          <w:color w:val="auto"/>
          <w:lang w:val="zh-TW"/>
        </w:rPr>
        <w:t>Unexpected Adverse Drug Reaction</w:t>
      </w:r>
      <w:r>
        <w:rPr>
          <w:rFonts w:hint="eastAsia" w:eastAsiaTheme="minorEastAsia"/>
          <w:color w:val="auto"/>
          <w:lang w:val="zh-TW" w:eastAsia="zh-CN"/>
        </w:rPr>
        <w:t>，</w:t>
      </w:r>
      <w:r>
        <w:rPr>
          <w:rFonts w:hint="eastAsia" w:eastAsiaTheme="minorEastAsia"/>
          <w:color w:val="auto"/>
          <w:lang w:val="en-US" w:eastAsia="zh-CN"/>
        </w:rPr>
        <w:t>UADR</w:t>
      </w:r>
      <w:r>
        <w:rPr>
          <w:rFonts w:hint="eastAsia" w:eastAsiaTheme="minorEastAsia"/>
          <w:color w:val="auto"/>
          <w:lang w:val="zh-TW" w:eastAsia="zh-CN"/>
        </w:rPr>
        <w:t>）</w:t>
      </w:r>
      <w:r>
        <w:rPr>
          <w:rFonts w:eastAsiaTheme="minorEastAsia"/>
          <w:color w:val="auto"/>
          <w:lang w:val="zh-TW" w:eastAsia="zh-TW"/>
        </w:rPr>
        <w:t>指不良反应的性质、严重程度、后果或频率，不同于试验药物当前相关资料（如研究者手册等文件）所描述的预期风险。药物临床试验期间，判断与试验药物肯定相关或可疑的非预期且严重的不良反应，均需要按</w:t>
      </w:r>
      <w:r>
        <w:rPr>
          <w:rFonts w:eastAsiaTheme="minorEastAsia"/>
          <w:color w:val="auto"/>
          <w:lang w:val="zh-TW"/>
        </w:rPr>
        <w:t>《药物临床试验期间安全性数据快速报告标准和程序》</w:t>
      </w:r>
      <w:r>
        <w:rPr>
          <w:rFonts w:eastAsiaTheme="minorEastAsia"/>
          <w:color w:val="auto"/>
          <w:lang w:val="zh-TW" w:eastAsia="zh-TW"/>
        </w:rPr>
        <w:t>以个例安全性报告的方式快速报告。</w:t>
      </w:r>
    </w:p>
    <w:p>
      <w:pPr>
        <w:pStyle w:val="69"/>
        <w:numPr>
          <w:ilvl w:val="0"/>
          <w:numId w:val="27"/>
        </w:numPr>
        <w:autoSpaceDE w:val="0"/>
        <w:autoSpaceDN w:val="0"/>
        <w:snapToGrid/>
        <w:contextualSpacing/>
        <w:rPr>
          <w:rFonts w:eastAsiaTheme="minorEastAsia"/>
        </w:rPr>
      </w:pPr>
      <w:bookmarkStart w:id="313" w:name="_Toc2519"/>
      <w:bookmarkStart w:id="314" w:name="_Toc690"/>
      <w:bookmarkStart w:id="315" w:name="_Toc521584602"/>
      <w:r>
        <w:rPr>
          <w:rFonts w:eastAsiaTheme="minorEastAsia"/>
        </w:rPr>
        <w:t>妊娠事件</w:t>
      </w:r>
      <w:bookmarkEnd w:id="313"/>
      <w:bookmarkEnd w:id="314"/>
      <w:bookmarkEnd w:id="315"/>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任何参加试验的受试者或受试者的伴侣，如果在受试者接受研究药物期间怀孕或被发现怀孕，研究者必须将此信息填入妊娠事件表并提交给申办者。</w:t>
      </w:r>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如果妊娠的结果符合</w:t>
      </w:r>
      <w:r>
        <w:rPr>
          <w:rFonts w:eastAsiaTheme="minorEastAsia"/>
          <w:color w:val="auto"/>
          <w:lang w:val="zh-TW"/>
        </w:rPr>
        <w:t>SAE</w:t>
      </w:r>
      <w:r>
        <w:rPr>
          <w:rFonts w:eastAsiaTheme="minorEastAsia"/>
          <w:color w:val="auto"/>
          <w:lang w:val="zh-TW" w:eastAsia="zh-TW"/>
        </w:rPr>
        <w:t>的标准（如自然流产、死产、新生儿死亡或先天性畸形（包括流产胎儿、死产或新生儿死亡），研究者应按</w:t>
      </w:r>
      <w:r>
        <w:rPr>
          <w:rFonts w:eastAsiaTheme="minorEastAsia"/>
          <w:color w:val="auto"/>
          <w:lang w:val="zh-TW"/>
        </w:rPr>
        <w:t>SAE</w:t>
      </w:r>
      <w:r>
        <w:rPr>
          <w:rFonts w:eastAsiaTheme="minorEastAsia"/>
          <w:color w:val="auto"/>
          <w:lang w:val="zh-TW" w:eastAsia="zh-TW"/>
        </w:rPr>
        <w:t>的报告程序进行报告。</w:t>
      </w:r>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其他作为严重不良事件的妊娠结果：</w:t>
      </w:r>
      <w:r>
        <w:rPr>
          <w:rFonts w:eastAsiaTheme="minorEastAsia"/>
          <w:color w:val="auto"/>
        </w:rPr>
        <w:t>“自然流产”</w:t>
      </w:r>
      <w:r>
        <w:rPr>
          <w:rFonts w:eastAsiaTheme="minorEastAsia"/>
          <w:color w:val="auto"/>
          <w:lang w:val="zh-TW" w:eastAsia="zh-TW"/>
        </w:rPr>
        <w:t>包括难免流产和稽留流产。</w:t>
      </w:r>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所有在出生一个月内发生的新生儿死亡，不管死因如何，都应作为</w:t>
      </w:r>
      <w:r>
        <w:rPr>
          <w:rFonts w:eastAsiaTheme="minorEastAsia"/>
          <w:color w:val="auto"/>
          <w:lang w:val="zh-TW"/>
        </w:rPr>
        <w:t>SAE</w:t>
      </w:r>
      <w:r>
        <w:rPr>
          <w:rFonts w:eastAsiaTheme="minorEastAsia"/>
          <w:color w:val="auto"/>
          <w:lang w:val="zh-TW" w:eastAsia="zh-TW"/>
        </w:rPr>
        <w:t>报告。另外，对于任何出生一个月后的婴儿死亡，只要研究者认为该死亡可能与研究药物有关，也应报告</w:t>
      </w:r>
      <w:r>
        <w:rPr>
          <w:rFonts w:eastAsiaTheme="minorEastAsia"/>
          <w:color w:val="auto"/>
          <w:lang w:val="zh-TW"/>
        </w:rPr>
        <w:t>。</w:t>
      </w:r>
    </w:p>
    <w:p>
      <w:pPr>
        <w:pStyle w:val="69"/>
        <w:numPr>
          <w:ilvl w:val="0"/>
          <w:numId w:val="27"/>
        </w:numPr>
        <w:autoSpaceDE w:val="0"/>
        <w:autoSpaceDN w:val="0"/>
        <w:snapToGrid/>
        <w:contextualSpacing/>
        <w:rPr>
          <w:rFonts w:eastAsiaTheme="minorEastAsia"/>
        </w:rPr>
      </w:pPr>
      <w:bookmarkStart w:id="316" w:name="_Toc9761"/>
      <w:bookmarkStart w:id="317" w:name="_Toc521584603"/>
      <w:bookmarkStart w:id="318" w:name="_Toc4307"/>
      <w:r>
        <w:rPr>
          <w:rFonts w:eastAsiaTheme="minorEastAsia"/>
        </w:rPr>
        <w:t>发生SAE时对受试者的处理</w:t>
      </w:r>
      <w:bookmarkEnd w:id="316"/>
      <w:bookmarkEnd w:id="317"/>
      <w:bookmarkEnd w:id="318"/>
    </w:p>
    <w:p>
      <w:pPr>
        <w:pStyle w:val="50"/>
        <w:autoSpaceDE w:val="0"/>
        <w:autoSpaceDN w:val="0"/>
        <w:adjustRightInd w:val="0"/>
        <w:ind w:left="0" w:firstLine="480" w:firstLineChars="200"/>
        <w:contextualSpacing/>
        <w:rPr>
          <w:rFonts w:eastAsiaTheme="minorEastAsia"/>
          <w:color w:val="auto"/>
          <w:lang w:val="zh-TW" w:eastAsia="zh-TW"/>
        </w:rPr>
      </w:pPr>
      <w:r>
        <w:rPr>
          <w:rFonts w:eastAsiaTheme="minorEastAsia"/>
          <w:color w:val="auto"/>
          <w:lang w:val="zh-TW" w:eastAsia="zh-TW"/>
        </w:rPr>
        <w:t>受试者发生</w:t>
      </w:r>
      <w:r>
        <w:rPr>
          <w:rFonts w:eastAsiaTheme="minorEastAsia"/>
          <w:color w:val="auto"/>
        </w:rPr>
        <w:t>SAE</w:t>
      </w:r>
      <w:r>
        <w:rPr>
          <w:rFonts w:eastAsiaTheme="minorEastAsia"/>
          <w:color w:val="auto"/>
          <w:lang w:val="zh-TW" w:eastAsia="zh-TW"/>
        </w:rPr>
        <w:t>均应退出试验，并对受试者进行积极治疗。</w:t>
      </w:r>
    </w:p>
    <w:p>
      <w:pPr>
        <w:pStyle w:val="69"/>
        <w:numPr>
          <w:ilvl w:val="0"/>
          <w:numId w:val="27"/>
        </w:numPr>
        <w:autoSpaceDE w:val="0"/>
        <w:autoSpaceDN w:val="0"/>
        <w:snapToGrid/>
        <w:contextualSpacing/>
        <w:rPr>
          <w:rFonts w:eastAsiaTheme="minorEastAsia"/>
        </w:rPr>
      </w:pPr>
      <w:bookmarkStart w:id="319" w:name="_Toc22478"/>
      <w:bookmarkStart w:id="320" w:name="_Toc9977"/>
      <w:bookmarkStart w:id="321" w:name="_Toc521584604"/>
      <w:r>
        <w:rPr>
          <w:rFonts w:eastAsiaTheme="minorEastAsia"/>
        </w:rPr>
        <w:t>SAE的记录与报告</w:t>
      </w:r>
      <w:bookmarkEnd w:id="319"/>
      <w:bookmarkEnd w:id="320"/>
      <w:bookmarkEnd w:id="321"/>
    </w:p>
    <w:p>
      <w:pPr>
        <w:pStyle w:val="50"/>
        <w:autoSpaceDE w:val="0"/>
        <w:autoSpaceDN w:val="0"/>
        <w:adjustRightInd w:val="0"/>
        <w:ind w:left="0" w:firstLine="480" w:firstLineChars="200"/>
        <w:contextualSpacing/>
        <w:rPr>
          <w:rFonts w:eastAsiaTheme="minorEastAsia"/>
          <w:color w:val="auto"/>
          <w:lang w:val="zh-TW"/>
        </w:rPr>
      </w:pPr>
      <w:r>
        <w:rPr>
          <w:rFonts w:eastAsiaTheme="minorEastAsia"/>
          <w:color w:val="auto"/>
          <w:lang w:val="zh-TW" w:eastAsia="zh-TW"/>
        </w:rPr>
        <w:t>若发生</w:t>
      </w:r>
      <w:r>
        <w:rPr>
          <w:rFonts w:eastAsiaTheme="minorEastAsia"/>
          <w:color w:val="auto"/>
        </w:rPr>
        <w:t>SAE</w:t>
      </w:r>
      <w:r>
        <w:rPr>
          <w:rFonts w:eastAsiaTheme="minorEastAsia"/>
          <w:color w:val="auto"/>
          <w:lang w:val="zh-TW" w:eastAsia="zh-TW"/>
        </w:rPr>
        <w:t>，研究者应尽可能详细的填写《严重不良事件报告表》，签名并注明日期。研究者必须在获知</w:t>
      </w:r>
      <w:r>
        <w:rPr>
          <w:rFonts w:eastAsiaTheme="minorEastAsia"/>
          <w:color w:val="auto"/>
        </w:rPr>
        <w:t>SAE的24</w:t>
      </w:r>
      <w:r>
        <w:rPr>
          <w:rFonts w:eastAsiaTheme="minorEastAsia"/>
          <w:color w:val="auto"/>
          <w:lang w:val="zh-TW" w:eastAsia="zh-TW"/>
        </w:rPr>
        <w:t>h之内报告给申办者指派的项目负责人、医院伦理委员会</w:t>
      </w:r>
      <w:r>
        <w:rPr>
          <w:rFonts w:eastAsiaTheme="minorEastAsia"/>
          <w:bCs/>
          <w:color w:val="auto"/>
          <w:lang w:val="en-GB"/>
        </w:rPr>
        <w:t>、国家</w:t>
      </w:r>
      <w:r>
        <w:rPr>
          <w:rFonts w:hint="eastAsia" w:eastAsiaTheme="minorEastAsia"/>
          <w:bCs/>
          <w:color w:val="auto"/>
          <w:lang w:val="en-GB"/>
        </w:rPr>
        <w:t>药品</w:t>
      </w:r>
      <w:r>
        <w:rPr>
          <w:rFonts w:eastAsiaTheme="minorEastAsia"/>
          <w:bCs/>
          <w:color w:val="auto"/>
          <w:lang w:val="en-GB"/>
        </w:rPr>
        <w:t>监督管理局（</w:t>
      </w:r>
      <w:r>
        <w:rPr>
          <w:rFonts w:hint="eastAsia" w:eastAsiaTheme="minorEastAsia"/>
          <w:bCs/>
          <w:color w:val="auto"/>
        </w:rPr>
        <w:t>NMPA</w:t>
      </w:r>
      <w:r>
        <w:rPr>
          <w:rFonts w:eastAsiaTheme="minorEastAsia"/>
          <w:bCs/>
          <w:color w:val="auto"/>
          <w:lang w:val="en-GB"/>
        </w:rPr>
        <w:t>）</w:t>
      </w:r>
      <w:r>
        <w:rPr>
          <w:rFonts w:eastAsiaTheme="minorEastAsia"/>
          <w:color w:val="auto"/>
          <w:lang w:val="zh-TW" w:eastAsia="zh-TW"/>
        </w:rPr>
        <w:t>。初次报告应尽可能的包括以下内容：报告来源、受试者基本信息、试验用药物名称、严重不良事件名称、持续时间、严重程度、与试验用药物的相关性、治疗以及事件的结果。</w:t>
      </w:r>
    </w:p>
    <w:p>
      <w:pPr>
        <w:pStyle w:val="50"/>
        <w:autoSpaceDE w:val="0"/>
        <w:autoSpaceDN w:val="0"/>
        <w:adjustRightInd w:val="0"/>
        <w:ind w:left="0" w:firstLine="482" w:firstLineChars="200"/>
        <w:contextualSpacing/>
        <w:rPr>
          <w:rFonts w:eastAsiaTheme="minorEastAsia"/>
          <w:b/>
          <w:color w:val="auto"/>
          <w:lang w:val="zh-TW"/>
        </w:rPr>
      </w:pPr>
      <w:r>
        <w:rPr>
          <w:rFonts w:eastAsiaTheme="minorEastAsia"/>
          <w:b/>
          <w:color w:val="auto"/>
          <w:lang w:val="zh-TW" w:eastAsia="zh-TW"/>
        </w:rPr>
        <w:t>严重不良事件报告途径</w:t>
      </w:r>
      <w:r>
        <w:rPr>
          <w:rFonts w:eastAsiaTheme="minorEastAsia"/>
          <w:b/>
          <w:color w:val="auto"/>
          <w:lang w:val="zh-TW"/>
        </w:rPr>
        <w:t>：</w:t>
      </w:r>
    </w:p>
    <w:p>
      <w:pPr>
        <w:ind w:left="0" w:firstLine="480" w:firstLineChars="200"/>
        <w:contextualSpacing/>
        <w:jc w:val="left"/>
        <w:rPr>
          <w:lang w:eastAsia="zh-CN"/>
        </w:rPr>
      </w:pPr>
      <w:r>
        <w:rPr>
          <w:rFonts w:hint="eastAsia" w:ascii="宋体" w:hAnsi="宋体" w:cs="宋体"/>
          <w:lang w:eastAsia="zh-CN"/>
        </w:rPr>
        <w:t>（1）</w:t>
      </w:r>
      <w:r>
        <w:rPr>
          <w:rFonts w:hint="eastAsia"/>
          <w:lang w:eastAsia="zh-CN"/>
        </w:rPr>
        <w:t>国家药品监督管理局报告方式</w:t>
      </w:r>
    </w:p>
    <w:p>
      <w:pPr>
        <w:ind w:left="0" w:firstLine="480" w:firstLineChars="200"/>
        <w:contextualSpacing/>
        <w:jc w:val="left"/>
        <w:rPr>
          <w:lang w:eastAsia="zh-CN"/>
        </w:rPr>
      </w:pPr>
      <w:r>
        <w:rPr>
          <w:lang w:eastAsia="zh-CN"/>
        </w:rPr>
        <w:t>•</w:t>
      </w:r>
      <w:r>
        <w:rPr>
          <w:lang w:eastAsia="zh-CN"/>
        </w:rPr>
        <w:tab/>
      </w:r>
      <w:r>
        <w:rPr>
          <w:lang w:eastAsia="zh-CN"/>
        </w:rPr>
        <w:t>收件人：</w:t>
      </w:r>
      <w:r>
        <w:rPr>
          <w:rFonts w:hint="eastAsia"/>
          <w:lang w:eastAsia="zh-CN"/>
        </w:rPr>
        <w:t>国家药品监督管理局药品化妆品注册管理司</w:t>
      </w:r>
      <w:r>
        <w:rPr>
          <w:lang w:eastAsia="zh-CN"/>
        </w:rPr>
        <w:t>（研究监督处）</w:t>
      </w:r>
    </w:p>
    <w:p>
      <w:pPr>
        <w:ind w:left="0" w:firstLine="480" w:firstLineChars="200"/>
        <w:contextualSpacing/>
        <w:jc w:val="left"/>
        <w:rPr>
          <w:lang w:eastAsia="zh-CN"/>
        </w:rPr>
      </w:pPr>
      <w:r>
        <w:rPr>
          <w:lang w:eastAsia="zh-CN"/>
        </w:rPr>
        <w:t>•</w:t>
      </w:r>
      <w:r>
        <w:rPr>
          <w:lang w:eastAsia="zh-CN"/>
        </w:rPr>
        <w:tab/>
      </w:r>
      <w:r>
        <w:rPr>
          <w:lang w:eastAsia="zh-CN"/>
        </w:rPr>
        <w:t>地址：北京市西城区宣武门西大街26号院2号楼</w:t>
      </w:r>
    </w:p>
    <w:p>
      <w:pPr>
        <w:ind w:left="0" w:firstLine="480" w:firstLineChars="200"/>
        <w:contextualSpacing/>
        <w:jc w:val="left"/>
        <w:rPr>
          <w:lang w:eastAsia="zh-CN"/>
        </w:rPr>
      </w:pPr>
      <w:r>
        <w:rPr>
          <w:lang w:eastAsia="zh-CN"/>
        </w:rPr>
        <w:t>•</w:t>
      </w:r>
      <w:r>
        <w:rPr>
          <w:lang w:eastAsia="zh-CN"/>
        </w:rPr>
        <w:tab/>
      </w:r>
      <w:r>
        <w:rPr>
          <w:lang w:eastAsia="zh-CN"/>
        </w:rPr>
        <w:t>邮编：100053</w:t>
      </w:r>
    </w:p>
    <w:p>
      <w:pPr>
        <w:ind w:left="0" w:firstLine="480" w:firstLineChars="200"/>
        <w:contextualSpacing/>
        <w:jc w:val="left"/>
        <w:rPr>
          <w:lang w:eastAsia="zh-CN"/>
        </w:rPr>
      </w:pPr>
      <w:r>
        <w:rPr>
          <w:lang w:eastAsia="zh-CN"/>
        </w:rPr>
        <w:t>•</w:t>
      </w:r>
      <w:r>
        <w:rPr>
          <w:lang w:eastAsia="zh-CN"/>
        </w:rPr>
        <w:tab/>
      </w:r>
      <w:r>
        <w:rPr>
          <w:lang w:eastAsia="zh-CN"/>
        </w:rPr>
        <w:t>电话：010-68313344</w:t>
      </w:r>
    </w:p>
    <w:p>
      <w:pPr>
        <w:ind w:left="0" w:firstLine="480" w:firstLineChars="200"/>
        <w:contextualSpacing/>
        <w:jc w:val="left"/>
        <w:rPr>
          <w:lang w:eastAsia="zh-CN"/>
        </w:rPr>
      </w:pPr>
      <w:r>
        <w:rPr>
          <w:lang w:eastAsia="zh-CN"/>
        </w:rPr>
        <w:t>•</w:t>
      </w:r>
      <w:r>
        <w:rPr>
          <w:lang w:eastAsia="zh-CN"/>
        </w:rPr>
        <w:tab/>
      </w:r>
      <w:r>
        <w:rPr>
          <w:lang w:eastAsia="zh-CN"/>
        </w:rPr>
        <w:t>传真：010-88363228</w:t>
      </w:r>
    </w:p>
    <w:p>
      <w:pPr>
        <w:ind w:left="0" w:firstLine="480" w:firstLineChars="200"/>
        <w:contextualSpacing/>
        <w:jc w:val="left"/>
        <w:rPr>
          <w:lang w:eastAsia="zh-CN"/>
        </w:rPr>
      </w:pPr>
      <w:r>
        <w:rPr>
          <w:rFonts w:hint="eastAsia" w:ascii="宋体" w:hAnsi="宋体" w:cs="宋体"/>
          <w:lang w:eastAsia="zh-CN"/>
        </w:rPr>
        <w:t>（2）</w:t>
      </w:r>
      <w:r>
        <w:rPr>
          <w:rFonts w:hint="eastAsia"/>
          <w:lang w:eastAsia="zh-CN"/>
        </w:rPr>
        <w:t>国家卫计健康委员会报告方式</w:t>
      </w:r>
    </w:p>
    <w:p>
      <w:pPr>
        <w:ind w:left="0" w:firstLine="480" w:firstLineChars="200"/>
        <w:contextualSpacing/>
        <w:jc w:val="left"/>
        <w:rPr>
          <w:lang w:eastAsia="zh-CN"/>
        </w:rPr>
      </w:pPr>
      <w:r>
        <w:rPr>
          <w:lang w:eastAsia="zh-CN"/>
        </w:rPr>
        <w:t>•</w:t>
      </w:r>
      <w:r>
        <w:rPr>
          <w:lang w:eastAsia="zh-CN"/>
        </w:rPr>
        <w:tab/>
      </w:r>
      <w:r>
        <w:rPr>
          <w:lang w:eastAsia="zh-CN"/>
        </w:rPr>
        <w:t>收件人：</w:t>
      </w:r>
      <w:r>
        <w:rPr>
          <w:rFonts w:hint="eastAsia"/>
          <w:lang w:eastAsia="zh-CN"/>
        </w:rPr>
        <w:t>国家卫生健康委员会</w:t>
      </w:r>
      <w:r>
        <w:rPr>
          <w:lang w:eastAsia="zh-CN"/>
        </w:rPr>
        <w:t>医政医管局医疗安全与血液处</w:t>
      </w:r>
    </w:p>
    <w:p>
      <w:pPr>
        <w:ind w:left="0" w:firstLine="480" w:firstLineChars="200"/>
        <w:contextualSpacing/>
        <w:jc w:val="left"/>
        <w:rPr>
          <w:lang w:eastAsia="zh-CN"/>
        </w:rPr>
      </w:pPr>
      <w:r>
        <w:rPr>
          <w:lang w:eastAsia="zh-CN"/>
        </w:rPr>
        <w:t>•</w:t>
      </w:r>
      <w:r>
        <w:rPr>
          <w:lang w:eastAsia="zh-CN"/>
        </w:rPr>
        <w:tab/>
      </w:r>
      <w:r>
        <w:rPr>
          <w:lang w:eastAsia="zh-CN"/>
        </w:rPr>
        <w:t>地址：北京市西城区北礼士路甲38号</w:t>
      </w:r>
    </w:p>
    <w:p>
      <w:pPr>
        <w:ind w:left="0" w:firstLine="480" w:firstLineChars="200"/>
        <w:contextualSpacing/>
        <w:jc w:val="left"/>
        <w:rPr>
          <w:lang w:eastAsia="zh-CN"/>
        </w:rPr>
      </w:pPr>
      <w:r>
        <w:rPr>
          <w:lang w:eastAsia="zh-CN"/>
        </w:rPr>
        <w:t>•</w:t>
      </w:r>
      <w:r>
        <w:rPr>
          <w:lang w:eastAsia="zh-CN"/>
        </w:rPr>
        <w:tab/>
      </w:r>
      <w:r>
        <w:rPr>
          <w:lang w:eastAsia="zh-CN"/>
        </w:rPr>
        <w:t>邮编：100810</w:t>
      </w:r>
    </w:p>
    <w:p>
      <w:pPr>
        <w:ind w:left="0" w:firstLine="480" w:firstLineChars="200"/>
        <w:contextualSpacing/>
        <w:jc w:val="left"/>
        <w:rPr>
          <w:lang w:eastAsia="zh-CN"/>
        </w:rPr>
      </w:pPr>
      <w:r>
        <w:rPr>
          <w:lang w:eastAsia="zh-CN"/>
        </w:rPr>
        <w:t>•</w:t>
      </w:r>
      <w:r>
        <w:rPr>
          <w:lang w:eastAsia="zh-CN"/>
        </w:rPr>
        <w:tab/>
      </w:r>
      <w:r>
        <w:rPr>
          <w:lang w:eastAsia="zh-CN"/>
        </w:rPr>
        <w:t>电话：010-68792201</w:t>
      </w:r>
    </w:p>
    <w:p>
      <w:pPr>
        <w:ind w:left="0" w:firstLine="480" w:firstLineChars="200"/>
        <w:contextualSpacing/>
        <w:jc w:val="left"/>
        <w:rPr>
          <w:lang w:eastAsia="zh-CN"/>
        </w:rPr>
      </w:pPr>
      <w:r>
        <w:rPr>
          <w:lang w:eastAsia="zh-CN"/>
        </w:rPr>
        <w:t>•</w:t>
      </w:r>
      <w:r>
        <w:rPr>
          <w:lang w:eastAsia="zh-CN"/>
        </w:rPr>
        <w:tab/>
      </w:r>
      <w:r>
        <w:rPr>
          <w:lang w:eastAsia="zh-CN"/>
        </w:rPr>
        <w:t>传真：010-68792734</w:t>
      </w:r>
    </w:p>
    <w:p>
      <w:pPr>
        <w:ind w:left="0" w:firstLine="480" w:firstLineChars="200"/>
        <w:contextualSpacing/>
        <w:jc w:val="left"/>
        <w:rPr>
          <w:lang w:eastAsia="zh-CN"/>
        </w:rPr>
      </w:pPr>
      <w:r>
        <w:rPr>
          <w:rFonts w:hint="eastAsia"/>
          <w:lang w:eastAsia="zh-CN"/>
        </w:rPr>
        <w:t>（3）广东省药品监督管理局</w:t>
      </w:r>
    </w:p>
    <w:p>
      <w:pPr>
        <w:ind w:left="0" w:firstLine="480" w:firstLineChars="200"/>
        <w:contextualSpacing/>
        <w:jc w:val="left"/>
        <w:rPr>
          <w:lang w:eastAsia="zh-CN"/>
        </w:rPr>
      </w:pPr>
      <w:r>
        <w:rPr>
          <w:lang w:eastAsia="zh-CN"/>
        </w:rPr>
        <w:t>•</w:t>
      </w:r>
      <w:r>
        <w:rPr>
          <w:lang w:eastAsia="zh-CN"/>
        </w:rPr>
        <w:tab/>
      </w:r>
      <w:r>
        <w:rPr>
          <w:lang w:eastAsia="zh-CN"/>
        </w:rPr>
        <w:t>地址：</w:t>
      </w:r>
      <w:r>
        <w:rPr>
          <w:rFonts w:hint="eastAsia"/>
          <w:lang w:eastAsia="zh-CN"/>
        </w:rPr>
        <w:t>广州市东风东路753号之二</w:t>
      </w:r>
    </w:p>
    <w:p>
      <w:pPr>
        <w:ind w:left="0" w:firstLine="480" w:firstLineChars="200"/>
        <w:contextualSpacing/>
        <w:jc w:val="left"/>
        <w:rPr>
          <w:lang w:eastAsia="zh-CN"/>
        </w:rPr>
      </w:pPr>
      <w:r>
        <w:rPr>
          <w:lang w:eastAsia="zh-CN"/>
        </w:rPr>
        <w:t>•</w:t>
      </w:r>
      <w:r>
        <w:rPr>
          <w:lang w:eastAsia="zh-CN"/>
        </w:rPr>
        <w:tab/>
      </w:r>
      <w:r>
        <w:rPr>
          <w:lang w:eastAsia="zh-CN"/>
        </w:rPr>
        <w:t>邮编：</w:t>
      </w:r>
      <w:r>
        <w:rPr>
          <w:rFonts w:hint="eastAsia"/>
          <w:lang w:eastAsia="zh-CN"/>
        </w:rPr>
        <w:t>510080</w:t>
      </w:r>
    </w:p>
    <w:p>
      <w:pPr>
        <w:ind w:left="0" w:firstLine="480" w:firstLineChars="200"/>
        <w:contextualSpacing/>
        <w:jc w:val="left"/>
        <w:rPr>
          <w:lang w:eastAsia="zh-CN"/>
        </w:rPr>
      </w:pPr>
      <w:r>
        <w:rPr>
          <w:lang w:eastAsia="zh-CN"/>
        </w:rPr>
        <w:t>•</w:t>
      </w:r>
      <w:r>
        <w:rPr>
          <w:lang w:eastAsia="zh-CN"/>
        </w:rPr>
        <w:tab/>
      </w:r>
      <w:r>
        <w:rPr>
          <w:rFonts w:hint="eastAsia"/>
          <w:lang w:eastAsia="zh-CN"/>
        </w:rPr>
        <w:t>电话：020-</w:t>
      </w:r>
      <w:r>
        <w:rPr>
          <w:lang w:eastAsia="zh-CN"/>
        </w:rPr>
        <w:t>37886888</w:t>
      </w:r>
    </w:p>
    <w:p>
      <w:pPr>
        <w:ind w:left="0" w:firstLine="480" w:firstLineChars="200"/>
        <w:contextualSpacing/>
        <w:jc w:val="left"/>
        <w:rPr>
          <w:lang w:eastAsia="zh-CN"/>
        </w:rPr>
      </w:pPr>
      <w:r>
        <w:rPr>
          <w:lang w:eastAsia="zh-CN"/>
        </w:rPr>
        <w:t>•</w:t>
      </w:r>
      <w:r>
        <w:rPr>
          <w:lang w:eastAsia="zh-CN"/>
        </w:rPr>
        <w:tab/>
      </w:r>
      <w:r>
        <w:rPr>
          <w:rFonts w:hint="eastAsia"/>
          <w:lang w:eastAsia="zh-CN"/>
        </w:rPr>
        <w:t>传真：020-37886128</w:t>
      </w:r>
    </w:p>
    <w:p>
      <w:pPr>
        <w:ind w:left="0" w:firstLine="480" w:firstLineChars="200"/>
        <w:contextualSpacing/>
        <w:jc w:val="left"/>
        <w:rPr>
          <w:lang w:eastAsia="zh-CN"/>
        </w:rPr>
      </w:pPr>
      <w:r>
        <w:rPr>
          <w:lang w:eastAsia="zh-CN"/>
        </w:rPr>
        <w:t>•</w:t>
      </w:r>
      <w:r>
        <w:rPr>
          <w:lang w:eastAsia="zh-CN"/>
        </w:rPr>
        <w:tab/>
      </w:r>
      <w:r>
        <w:rPr>
          <w:rFonts w:hint="eastAsia"/>
          <w:lang w:eastAsia="zh-CN"/>
        </w:rPr>
        <w:t>邮箱：</w:t>
      </w:r>
      <w:r>
        <w:rPr>
          <w:lang w:eastAsia="zh-CN"/>
        </w:rPr>
        <w:t>469836929@qq.com</w:t>
      </w:r>
    </w:p>
    <w:p>
      <w:pPr>
        <w:ind w:left="0" w:firstLine="480" w:firstLineChars="200"/>
        <w:contextualSpacing/>
        <w:jc w:val="left"/>
        <w:rPr>
          <w:lang w:eastAsia="zh-CN"/>
        </w:rPr>
      </w:pPr>
      <w:r>
        <w:rPr>
          <w:rFonts w:hint="eastAsia" w:ascii="宋体" w:hAnsi="宋体" w:cs="宋体"/>
          <w:lang w:eastAsia="zh-CN"/>
        </w:rPr>
        <w:t>（4）广州市番禺区中心医院</w:t>
      </w:r>
      <w:r>
        <w:rPr>
          <w:rFonts w:hint="eastAsia"/>
          <w:lang w:eastAsia="zh-CN"/>
        </w:rPr>
        <w:t>药物临床试验伦理委员会</w:t>
      </w:r>
    </w:p>
    <w:p>
      <w:pPr>
        <w:ind w:left="0" w:firstLine="480" w:firstLineChars="200"/>
        <w:contextualSpacing/>
        <w:jc w:val="left"/>
        <w:rPr>
          <w:lang w:eastAsia="zh-CN"/>
        </w:rPr>
      </w:pPr>
      <w:r>
        <w:rPr>
          <w:lang w:eastAsia="zh-CN"/>
        </w:rPr>
        <w:t>•</w:t>
      </w:r>
      <w:r>
        <w:rPr>
          <w:lang w:eastAsia="zh-CN"/>
        </w:rPr>
        <w:tab/>
      </w:r>
      <w:r>
        <w:rPr>
          <w:rFonts w:hint="eastAsia"/>
          <w:lang w:eastAsia="zh-CN"/>
        </w:rPr>
        <w:t>联系人：陈颖</w:t>
      </w:r>
    </w:p>
    <w:p>
      <w:pPr>
        <w:ind w:left="0" w:firstLine="480" w:firstLineChars="200"/>
        <w:contextualSpacing/>
        <w:jc w:val="left"/>
        <w:rPr>
          <w:lang w:eastAsia="zh-CN"/>
        </w:rPr>
      </w:pPr>
      <w:r>
        <w:rPr>
          <w:lang w:eastAsia="zh-CN"/>
        </w:rPr>
        <w:t>•</w:t>
      </w:r>
      <w:r>
        <w:rPr>
          <w:lang w:eastAsia="zh-CN"/>
        </w:rPr>
        <w:tab/>
      </w:r>
      <w:r>
        <w:rPr>
          <w:lang w:eastAsia="zh-CN"/>
        </w:rPr>
        <w:t>电话</w:t>
      </w:r>
      <w:r>
        <w:rPr>
          <w:rFonts w:hint="eastAsia"/>
          <w:lang w:eastAsia="zh-CN"/>
        </w:rPr>
        <w:t>：020-34859967</w:t>
      </w:r>
    </w:p>
    <w:p>
      <w:pPr>
        <w:ind w:left="0" w:firstLine="480" w:firstLineChars="200"/>
        <w:contextualSpacing/>
        <w:jc w:val="left"/>
        <w:rPr>
          <w:lang w:eastAsia="zh-CN"/>
        </w:rPr>
      </w:pPr>
      <w:r>
        <w:rPr>
          <w:rFonts w:hint="eastAsia"/>
          <w:lang w:eastAsia="zh-CN"/>
        </w:rPr>
        <w:t>•</w:t>
      </w:r>
      <w:r>
        <w:rPr>
          <w:rFonts w:hint="eastAsia"/>
          <w:lang w:eastAsia="zh-CN"/>
        </w:rPr>
        <w:tab/>
      </w:r>
      <w:r>
        <w:rPr>
          <w:rFonts w:hint="eastAsia"/>
          <w:lang w:eastAsia="zh-CN"/>
        </w:rPr>
        <w:t>传真：020-34859950</w:t>
      </w:r>
    </w:p>
    <w:p>
      <w:pPr>
        <w:ind w:left="0" w:firstLine="480" w:firstLineChars="200"/>
        <w:contextualSpacing/>
        <w:jc w:val="left"/>
        <w:rPr>
          <w:lang w:eastAsia="zh-CN"/>
        </w:rPr>
      </w:pPr>
      <w:r>
        <w:rPr>
          <w:rFonts w:hint="eastAsia"/>
          <w:lang w:eastAsia="zh-CN"/>
        </w:rPr>
        <w:t>•   地址： 广州市番禺区桥南街福愉东路8号番禺中心医院</w:t>
      </w:r>
    </w:p>
    <w:p>
      <w:pPr>
        <w:ind w:left="0" w:firstLine="480" w:firstLineChars="200"/>
        <w:contextualSpacing/>
        <w:jc w:val="left"/>
        <w:rPr>
          <w:lang w:eastAsia="zh-CN"/>
        </w:rPr>
      </w:pPr>
      <w:r>
        <w:rPr>
          <w:rFonts w:hint="eastAsia"/>
          <w:lang w:eastAsia="zh-CN"/>
        </w:rPr>
        <w:t>•   邮箱：py_gcpec@126.com</w:t>
      </w:r>
    </w:p>
    <w:p>
      <w:pPr>
        <w:ind w:left="0" w:firstLine="480" w:firstLineChars="200"/>
        <w:contextualSpacing/>
        <w:jc w:val="left"/>
        <w:rPr>
          <w:rFonts w:eastAsiaTheme="minorEastAsia"/>
          <w:lang w:eastAsia="zh-CN"/>
        </w:rPr>
      </w:pPr>
      <w:r>
        <w:rPr>
          <w:rFonts w:hint="eastAsia" w:ascii="宋体" w:hAnsi="宋体" w:cs="宋体"/>
          <w:lang w:eastAsia="zh-CN"/>
        </w:rPr>
        <w:t>（5）</w:t>
      </w:r>
      <w:r>
        <w:rPr>
          <w:rFonts w:eastAsiaTheme="minorEastAsia"/>
          <w:lang w:eastAsia="zh-CN"/>
        </w:rPr>
        <w:t>申办方：</w:t>
      </w:r>
      <w:r>
        <w:rPr>
          <w:rFonts w:eastAsiaTheme="minorEastAsia"/>
          <w:lang w:eastAsia="zh-CN"/>
        </w:rPr>
        <w:fldChar w:fldCharType="begin"/>
      </w:r>
      <w:r>
        <w:rPr>
          <w:rFonts w:eastAsiaTheme="minorEastAsia"/>
          <w:lang w:eastAsia="zh-CN"/>
        </w:rPr>
        <w:instrText xml:space="preserve"> MERGEFIELD T申办方 </w:instrText>
      </w:r>
      <w:r>
        <w:rPr>
          <w:rFonts w:eastAsiaTheme="minorEastAsia"/>
          <w:lang w:eastAsia="zh-CN"/>
        </w:rPr>
        <w:fldChar w:fldCharType="separate"/>
      </w:r>
      <w:r>
        <w:rPr>
          <w:rFonts w:hint="eastAsia" w:eastAsiaTheme="minorEastAsia"/>
          <w:lang w:eastAsia="zh-CN"/>
        </w:rPr>
        <w:t>XXXXXX</w:t>
      </w:r>
      <w:r>
        <w:rPr>
          <w:rFonts w:eastAsiaTheme="minorEastAsia"/>
          <w:lang w:eastAsia="zh-CN"/>
        </w:rPr>
        <w:fldChar w:fldCharType="end"/>
      </w:r>
    </w:p>
    <w:p>
      <w:pPr>
        <w:ind w:left="0" w:firstLine="480" w:firstLineChars="200"/>
        <w:contextualSpacing/>
        <w:jc w:val="left"/>
        <w:rPr>
          <w:rFonts w:eastAsiaTheme="minorEastAsia"/>
          <w:lang w:val="en-US" w:eastAsia="zh-CN"/>
        </w:rPr>
      </w:pPr>
      <w:r>
        <w:rPr>
          <w:lang w:eastAsia="zh-CN"/>
        </w:rPr>
        <w:t>•</w:t>
      </w:r>
      <w:r>
        <w:rPr>
          <w:lang w:eastAsia="zh-CN"/>
        </w:rPr>
        <w:tab/>
      </w:r>
      <w:r>
        <w:rPr>
          <w:rFonts w:hint="eastAsia"/>
          <w:lang w:eastAsia="zh-CN"/>
        </w:rPr>
        <w:t>联系人：</w:t>
      </w:r>
      <w:r>
        <w:rPr>
          <w:rFonts w:hint="eastAsia"/>
          <w:lang w:val="en-US" w:eastAsia="zh-CN"/>
        </w:rPr>
        <w:t>潘碧妍</w:t>
      </w:r>
    </w:p>
    <w:p>
      <w:pPr>
        <w:widowControl w:val="0"/>
        <w:autoSpaceDE w:val="0"/>
        <w:autoSpaceDN w:val="0"/>
        <w:adjustRightInd w:val="0"/>
        <w:ind w:left="0" w:firstLine="420"/>
        <w:contextualSpacing/>
        <w:textAlignment w:val="cente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地址：</w:t>
      </w:r>
      <w:r>
        <w:rPr>
          <w:rFonts w:hint="eastAsia" w:eastAsiaTheme="minorEastAsia"/>
          <w:bCs/>
          <w:lang w:eastAsia="zh-CN"/>
        </w:rPr>
        <w:t>广州市海珠区工业大道北48号</w:t>
      </w:r>
    </w:p>
    <w:p>
      <w:pPr>
        <w:ind w:left="0" w:firstLine="480" w:firstLineChars="200"/>
        <w:contextualSpacing/>
        <w:jc w:val="left"/>
        <w:rPr>
          <w:rFonts w:eastAsiaTheme="minorEastAsia"/>
          <w:lang w:eastAsia="zh-CN"/>
        </w:rPr>
      </w:pPr>
      <w:bookmarkStart w:id="322" w:name="_Toc521584605"/>
      <w:bookmarkStart w:id="323" w:name="_Toc465862117"/>
      <w:bookmarkStart w:id="324" w:name="_Toc460954502"/>
      <w:r>
        <w:rPr>
          <w:rFonts w:eastAsiaTheme="minorEastAsia"/>
          <w:lang w:eastAsia="zh-CN"/>
        </w:rPr>
        <w:t>•</w:t>
      </w:r>
      <w:r>
        <w:rPr>
          <w:rFonts w:eastAsiaTheme="minorEastAsia"/>
          <w:lang w:eastAsia="zh-CN"/>
        </w:rPr>
        <w:tab/>
      </w:r>
      <w:r>
        <w:rPr>
          <w:rFonts w:eastAsiaTheme="minorEastAsia"/>
          <w:lang w:eastAsia="zh-CN"/>
        </w:rPr>
        <w:t>邮编：</w:t>
      </w:r>
      <w:r>
        <w:rPr>
          <w:rFonts w:hint="eastAsia" w:eastAsiaTheme="minorEastAsia"/>
          <w:lang w:eastAsia="zh-CN"/>
        </w:rPr>
        <w:t>510250</w:t>
      </w:r>
    </w:p>
    <w:p>
      <w:pPr>
        <w:ind w:left="0" w:firstLine="480" w:firstLineChars="200"/>
        <w:contextualSpacing/>
        <w:jc w:val="left"/>
        <w:rPr>
          <w:rFonts w:hint="eastAsia" w:eastAsiaTheme="minorEastAsia"/>
          <w:szCs w:val="21"/>
          <w:lang w:val="en-US" w:eastAsia="zh-CN"/>
        </w:rPr>
      </w:pPr>
      <w:r>
        <w:rPr>
          <w:rFonts w:eastAsiaTheme="minorEastAsia"/>
          <w:lang w:eastAsia="zh-CN"/>
        </w:rPr>
        <w:t>•</w:t>
      </w:r>
      <w:r>
        <w:rPr>
          <w:rFonts w:eastAsiaTheme="minorEastAsia"/>
          <w:lang w:eastAsia="zh-CN"/>
        </w:rPr>
        <w:tab/>
      </w:r>
      <w:r>
        <w:rPr>
          <w:rFonts w:eastAsiaTheme="minorEastAsia"/>
          <w:lang w:eastAsia="zh-CN"/>
        </w:rPr>
        <w:t>电话：</w:t>
      </w:r>
      <w:r>
        <w:rPr>
          <w:rFonts w:eastAsiaTheme="minorEastAsia"/>
          <w:szCs w:val="21"/>
          <w:lang w:eastAsia="zh-CN"/>
        </w:rPr>
        <w:t>13</w:t>
      </w:r>
      <w:r>
        <w:rPr>
          <w:rFonts w:hint="eastAsia" w:eastAsiaTheme="minorEastAsia"/>
          <w:szCs w:val="21"/>
          <w:lang w:val="en-US" w:eastAsia="zh-CN"/>
        </w:rPr>
        <w:t>660521293</w:t>
      </w:r>
    </w:p>
    <w:p>
      <w:pPr>
        <w:ind w:left="0" w:firstLine="480" w:firstLineChars="200"/>
        <w:contextualSpacing/>
        <w:jc w:val="left"/>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传真：</w:t>
      </w:r>
      <w:r>
        <w:rPr>
          <w:rFonts w:hint="eastAsia" w:eastAsiaTheme="minorEastAsia"/>
          <w:lang w:eastAsia="zh-CN"/>
        </w:rPr>
        <w:t>020-</w:t>
      </w:r>
      <w:r>
        <w:rPr>
          <w:rFonts w:eastAsiaTheme="minorEastAsia"/>
          <w:lang w:eastAsia="zh-CN"/>
        </w:rPr>
        <w:t>84333948</w:t>
      </w:r>
    </w:p>
    <w:p>
      <w:pPr>
        <w:spacing w:line="240" w:lineRule="auto"/>
        <w:ind w:left="0" w:firstLine="480" w:firstLineChars="200"/>
        <w:contextualSpacing/>
        <w:jc w:val="left"/>
        <w:rPr>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325" w:name="_Toc16846"/>
      <w:r>
        <w:rPr>
          <w:rFonts w:hint="eastAsia" w:ascii="Times New Roman" w:hAnsi="Times New Roman" w:eastAsiaTheme="minorEastAsia"/>
          <w:sz w:val="24"/>
          <w:szCs w:val="24"/>
          <w:lang w:val="en-US" w:eastAsia="zh-CN"/>
        </w:rPr>
        <w:t xml:space="preserve">8      </w:t>
      </w:r>
      <w:r>
        <w:rPr>
          <w:rFonts w:ascii="Times New Roman" w:hAnsi="Times New Roman" w:eastAsiaTheme="minorEastAsia"/>
          <w:sz w:val="24"/>
          <w:szCs w:val="24"/>
          <w:lang w:val="zh-TW" w:eastAsia="zh-CN"/>
        </w:rPr>
        <w:t>数据管理和</w:t>
      </w:r>
      <w:r>
        <w:rPr>
          <w:rFonts w:ascii="Times New Roman" w:hAnsi="Times New Roman" w:eastAsiaTheme="minorEastAsia"/>
          <w:sz w:val="24"/>
          <w:szCs w:val="24"/>
          <w:lang w:val="zh-TW" w:eastAsia="zh-TW"/>
        </w:rPr>
        <w:t>统计分析</w:t>
      </w:r>
      <w:bookmarkEnd w:id="322"/>
      <w:bookmarkEnd w:id="323"/>
      <w:bookmarkEnd w:id="324"/>
      <w:bookmarkEnd w:id="325"/>
    </w:p>
    <w:p>
      <w:pPr>
        <w:pStyle w:val="4"/>
        <w:keepNext w:val="0"/>
        <w:keepLines w:val="0"/>
        <w:widowControl w:val="0"/>
        <w:numPr>
          <w:ilvl w:val="1"/>
          <w:numId w:val="28"/>
        </w:numPr>
        <w:autoSpaceDE w:val="0"/>
        <w:autoSpaceDN w:val="0"/>
        <w:adjustRightInd w:val="0"/>
        <w:spacing w:before="0" w:after="0" w:line="360" w:lineRule="auto"/>
        <w:ind w:left="527" w:hanging="527"/>
        <w:contextualSpacing/>
        <w:rPr>
          <w:rFonts w:ascii="Times New Roman" w:hAnsi="Times New Roman" w:eastAsia="宋体"/>
          <w:sz w:val="24"/>
          <w:szCs w:val="24"/>
          <w:lang w:val="zh-TW" w:eastAsia="zh-TW"/>
        </w:rPr>
      </w:pPr>
      <w:bookmarkStart w:id="326" w:name="_Toc465862118"/>
      <w:bookmarkStart w:id="327" w:name="_Toc3020"/>
      <w:bookmarkStart w:id="328" w:name="_Toc19941"/>
      <w:bookmarkStart w:id="329" w:name="_Toc521510329"/>
      <w:bookmarkStart w:id="330" w:name="_Toc521584611"/>
      <w:bookmarkStart w:id="331" w:name="_Toc460500143"/>
      <w:bookmarkStart w:id="332" w:name="_Toc460952517"/>
      <w:bookmarkStart w:id="333" w:name="_Toc447822855"/>
      <w:bookmarkStart w:id="334" w:name="_Toc13770"/>
      <w:r>
        <w:rPr>
          <w:rFonts w:ascii="Times New Roman" w:hAnsi="Times New Roman" w:eastAsia="宋体"/>
          <w:sz w:val="24"/>
          <w:szCs w:val="24"/>
          <w:lang w:val="zh-TW" w:eastAsia="zh-TW"/>
        </w:rPr>
        <w:t>数据管理</w:t>
      </w:r>
      <w:bookmarkEnd w:id="326"/>
      <w:bookmarkEnd w:id="327"/>
      <w:bookmarkEnd w:id="328"/>
      <w:bookmarkEnd w:id="329"/>
    </w:p>
    <w:p>
      <w:pPr>
        <w:widowControl w:val="0"/>
        <w:numPr>
          <w:ilvl w:val="0"/>
          <w:numId w:val="29"/>
        </w:numPr>
        <w:autoSpaceDE w:val="0"/>
        <w:autoSpaceDN w:val="0"/>
        <w:adjustRightInd w:val="0"/>
        <w:ind w:left="426" w:hanging="426"/>
        <w:contextualSpacing/>
        <w:rPr>
          <w:kern w:val="10"/>
          <w:lang w:eastAsia="zh-CN"/>
        </w:rPr>
      </w:pPr>
      <w:bookmarkStart w:id="335" w:name="_Toc460954504"/>
      <w:r>
        <w:rPr>
          <w:kern w:val="10"/>
          <w:lang w:eastAsia="zh-CN"/>
        </w:rPr>
        <w:t>本次试验数据管理采用电子化数据管理系统（</w:t>
      </w:r>
      <w:r>
        <w:rPr>
          <w:rFonts w:hint="eastAsia"/>
          <w:kern w:val="10"/>
          <w:lang w:eastAsia="zh-CN"/>
        </w:rPr>
        <w:t>广州静远Gooclin</w:t>
      </w:r>
      <w:r>
        <w:rPr>
          <w:kern w:val="10"/>
          <w:lang w:eastAsia="zh-CN"/>
        </w:rPr>
        <w:t xml:space="preserve"> EDC）。</w:t>
      </w:r>
    </w:p>
    <w:p>
      <w:pPr>
        <w:widowControl w:val="0"/>
        <w:numPr>
          <w:ilvl w:val="0"/>
          <w:numId w:val="29"/>
        </w:numPr>
        <w:autoSpaceDE w:val="0"/>
        <w:autoSpaceDN w:val="0"/>
        <w:adjustRightInd w:val="0"/>
        <w:ind w:left="426" w:hanging="426"/>
        <w:contextualSpacing/>
        <w:rPr>
          <w:kern w:val="10"/>
          <w:lang w:eastAsia="zh-CN"/>
        </w:rPr>
      </w:pPr>
      <w:r>
        <w:rPr>
          <w:kern w:val="10"/>
          <w:lang w:eastAsia="zh-CN"/>
        </w:rPr>
        <w:t>数据库建立与测试：数据</w:t>
      </w:r>
      <w:r>
        <w:rPr>
          <w:rFonts w:hint="eastAsia"/>
          <w:kern w:val="10"/>
          <w:lang w:eastAsia="zh-CN"/>
        </w:rPr>
        <w:t>库设计员</w:t>
      </w:r>
      <w:r>
        <w:rPr>
          <w:kern w:val="10"/>
          <w:lang w:eastAsia="zh-CN"/>
        </w:rPr>
        <w:t>根据</w:t>
      </w:r>
      <w:r>
        <w:rPr>
          <w:rFonts w:hint="eastAsia"/>
          <w:kern w:val="10"/>
          <w:lang w:eastAsia="zh-CN"/>
        </w:rPr>
        <w:t>研究方案设计</w:t>
      </w:r>
      <w:r>
        <w:rPr>
          <w:kern w:val="10"/>
          <w:lang w:eastAsia="zh-CN"/>
        </w:rPr>
        <w:t>eCRF，由数据管理员进行测试，测试内容包括：页面设计</w:t>
      </w:r>
      <w:r>
        <w:rPr>
          <w:rFonts w:hint="eastAsia"/>
          <w:kern w:val="10"/>
          <w:lang w:eastAsia="zh-CN"/>
        </w:rPr>
        <w:t>、</w:t>
      </w:r>
      <w:r>
        <w:rPr>
          <w:kern w:val="10"/>
          <w:lang w:eastAsia="zh-CN"/>
        </w:rPr>
        <w:t>访视期设置、访视中的录入表单顺序及每个数据点的顺序</w:t>
      </w:r>
      <w:r>
        <w:rPr>
          <w:rFonts w:hint="eastAsia"/>
          <w:kern w:val="10"/>
          <w:lang w:eastAsia="zh-CN"/>
        </w:rPr>
        <w:t>、</w:t>
      </w:r>
      <w:r>
        <w:rPr>
          <w:kern w:val="10"/>
          <w:lang w:eastAsia="zh-CN"/>
        </w:rPr>
        <w:t>不同用户浏览权限的准确性等等。</w:t>
      </w:r>
    </w:p>
    <w:p>
      <w:pPr>
        <w:widowControl w:val="0"/>
        <w:numPr>
          <w:ilvl w:val="0"/>
          <w:numId w:val="29"/>
        </w:numPr>
        <w:autoSpaceDE w:val="0"/>
        <w:autoSpaceDN w:val="0"/>
        <w:adjustRightInd w:val="0"/>
        <w:ind w:left="426" w:hanging="426"/>
        <w:contextualSpacing/>
        <w:rPr>
          <w:kern w:val="10"/>
          <w:lang w:eastAsia="zh-CN"/>
        </w:rPr>
      </w:pPr>
      <w:r>
        <w:rPr>
          <w:kern w:val="10"/>
          <w:lang w:eastAsia="zh-CN"/>
        </w:rPr>
        <w:t>EDC系统用户</w:t>
      </w:r>
      <w:r>
        <w:rPr>
          <w:rFonts w:hint="eastAsia"/>
          <w:kern w:val="10"/>
          <w:lang w:eastAsia="zh-CN"/>
        </w:rPr>
        <w:t>权限：所有使用EDC系统的人员应该按照各自的角色获得EDC系统培训，签署培训记录后方可开通系统权限。</w:t>
      </w:r>
    </w:p>
    <w:p>
      <w:pPr>
        <w:widowControl w:val="0"/>
        <w:numPr>
          <w:ilvl w:val="0"/>
          <w:numId w:val="29"/>
        </w:numPr>
        <w:autoSpaceDE w:val="0"/>
        <w:autoSpaceDN w:val="0"/>
        <w:adjustRightInd w:val="0"/>
        <w:ind w:left="426" w:hanging="426"/>
        <w:contextualSpacing/>
        <w:rPr>
          <w:kern w:val="10"/>
          <w:lang w:eastAsia="zh-CN"/>
        </w:rPr>
      </w:pPr>
      <w:r>
        <w:rPr>
          <w:kern w:val="10"/>
          <w:lang w:eastAsia="zh-CN"/>
        </w:rPr>
        <w:t>数据录入：研究人员需按照GCP和研究方案要求来收集受试者数据，同时依据填写指南准确、及时、完整、规范地填写eCRF，eCRF不作为原始记录。</w:t>
      </w:r>
    </w:p>
    <w:p>
      <w:pPr>
        <w:widowControl w:val="0"/>
        <w:numPr>
          <w:ilvl w:val="0"/>
          <w:numId w:val="29"/>
        </w:numPr>
        <w:autoSpaceDE w:val="0"/>
        <w:autoSpaceDN w:val="0"/>
        <w:adjustRightInd w:val="0"/>
        <w:ind w:left="426" w:hanging="426"/>
        <w:contextualSpacing/>
        <w:rPr>
          <w:kern w:val="10"/>
          <w:lang w:eastAsia="zh-CN"/>
        </w:rPr>
      </w:pPr>
      <w:r>
        <w:rPr>
          <w:kern w:val="10"/>
          <w:lang w:eastAsia="zh-CN"/>
        </w:rPr>
        <w:t>源数据现场核查（SDV）：监查员在各中心研究现场登陆EDC，核对eCRF数据与源数据的一致性，发现问题可随时在线发出疑问。</w:t>
      </w:r>
    </w:p>
    <w:p>
      <w:pPr>
        <w:widowControl w:val="0"/>
        <w:numPr>
          <w:ilvl w:val="0"/>
          <w:numId w:val="29"/>
        </w:numPr>
        <w:autoSpaceDE w:val="0"/>
        <w:autoSpaceDN w:val="0"/>
        <w:adjustRightInd w:val="0"/>
        <w:ind w:left="426" w:hanging="426"/>
        <w:contextualSpacing/>
        <w:rPr>
          <w:kern w:val="10"/>
          <w:lang w:eastAsia="zh-CN"/>
        </w:rPr>
      </w:pPr>
      <w:r>
        <w:rPr>
          <w:kern w:val="10"/>
          <w:lang w:eastAsia="zh-CN"/>
        </w:rPr>
        <w:t>疑问解答：研究者可实时在线解答疑问，或下载疑问列表，研究者离线解答，再由CRC将疑问内容录入EDC。数据管理员和监查员对研究者解答疑问进行批复，必要时可再次发出疑问，直到数据</w:t>
      </w:r>
      <w:r>
        <w:rPr>
          <w:rFonts w:hint="eastAsia"/>
          <w:kern w:val="10"/>
          <w:lang w:eastAsia="zh-CN"/>
        </w:rPr>
        <w:t>“</w:t>
      </w:r>
      <w:r>
        <w:rPr>
          <w:kern w:val="10"/>
          <w:lang w:eastAsia="zh-CN"/>
        </w:rPr>
        <w:t>清洁</w:t>
      </w:r>
      <w:r>
        <w:rPr>
          <w:rFonts w:hint="eastAsia"/>
          <w:kern w:val="10"/>
          <w:lang w:eastAsia="zh-CN"/>
        </w:rPr>
        <w:t>”</w:t>
      </w:r>
      <w:r>
        <w:rPr>
          <w:kern w:val="10"/>
          <w:lang w:eastAsia="zh-CN"/>
        </w:rPr>
        <w:t>。</w:t>
      </w:r>
    </w:p>
    <w:p>
      <w:pPr>
        <w:widowControl w:val="0"/>
        <w:numPr>
          <w:ilvl w:val="0"/>
          <w:numId w:val="29"/>
        </w:numPr>
        <w:autoSpaceDE w:val="0"/>
        <w:autoSpaceDN w:val="0"/>
        <w:adjustRightInd w:val="0"/>
        <w:ind w:left="426" w:hanging="426"/>
        <w:contextualSpacing/>
        <w:rPr>
          <w:lang w:val="zh-TW" w:eastAsia="zh-TW"/>
        </w:rPr>
      </w:pPr>
      <w:r>
        <w:rPr>
          <w:kern w:val="10"/>
          <w:lang w:eastAsia="zh-CN"/>
        </w:rPr>
        <w:t>eCRF存档：试验结束，生成每个受试者的eCRF，PDF电子文档，刻录光盘保存。</w:t>
      </w:r>
    </w:p>
    <w:p>
      <w:pPr>
        <w:pStyle w:val="4"/>
        <w:keepNext w:val="0"/>
        <w:keepLines w:val="0"/>
        <w:widowControl w:val="0"/>
        <w:numPr>
          <w:ilvl w:val="1"/>
          <w:numId w:val="28"/>
        </w:numPr>
        <w:autoSpaceDE w:val="0"/>
        <w:autoSpaceDN w:val="0"/>
        <w:adjustRightInd w:val="0"/>
        <w:spacing w:before="0" w:after="0" w:line="360" w:lineRule="auto"/>
        <w:ind w:left="527" w:hanging="527"/>
        <w:contextualSpacing/>
        <w:rPr>
          <w:rFonts w:ascii="Times New Roman" w:hAnsi="Times New Roman" w:eastAsia="宋体"/>
          <w:sz w:val="24"/>
          <w:szCs w:val="24"/>
          <w:lang w:val="zh-TW" w:eastAsia="zh-TW"/>
        </w:rPr>
      </w:pPr>
      <w:bookmarkStart w:id="336" w:name="_Toc521510330"/>
      <w:bookmarkStart w:id="337" w:name="_Toc23120"/>
      <w:bookmarkStart w:id="338" w:name="_Toc19341"/>
      <w:r>
        <w:rPr>
          <w:rFonts w:ascii="Times New Roman" w:hAnsi="Times New Roman" w:eastAsia="宋体"/>
          <w:sz w:val="24"/>
          <w:szCs w:val="24"/>
          <w:lang w:val="zh-TW" w:eastAsia="zh-TW"/>
        </w:rPr>
        <w:t>统计分析</w:t>
      </w:r>
      <w:bookmarkEnd w:id="336"/>
      <w:bookmarkEnd w:id="337"/>
      <w:bookmarkEnd w:id="338"/>
    </w:p>
    <w:p>
      <w:pPr>
        <w:pStyle w:val="69"/>
        <w:numPr>
          <w:ilvl w:val="0"/>
          <w:numId w:val="30"/>
        </w:numPr>
        <w:autoSpaceDE w:val="0"/>
        <w:autoSpaceDN w:val="0"/>
        <w:snapToGrid/>
        <w:contextualSpacing/>
      </w:pPr>
      <w:bookmarkStart w:id="339" w:name="_Toc465862120"/>
      <w:bookmarkStart w:id="340" w:name="_Toc521510331"/>
      <w:bookmarkStart w:id="341" w:name="_Toc30813"/>
      <w:bookmarkStart w:id="342" w:name="_Toc464138999"/>
      <w:bookmarkStart w:id="343" w:name="_Toc5643"/>
      <w:r>
        <w:t>分析人群</w:t>
      </w:r>
      <w:bookmarkEnd w:id="339"/>
      <w:bookmarkEnd w:id="340"/>
      <w:bookmarkEnd w:id="341"/>
      <w:bookmarkEnd w:id="342"/>
      <w:bookmarkEnd w:id="343"/>
      <w:r>
        <w:commentReference w:id="1"/>
      </w:r>
    </w:p>
    <w:p>
      <w:pPr>
        <w:numPr>
          <w:ilvl w:val="0"/>
          <w:numId w:val="31"/>
        </w:numPr>
        <w:rPr>
          <w:lang w:eastAsia="zh-CN"/>
        </w:rPr>
      </w:pPr>
      <w:r>
        <w:rPr>
          <w:bCs/>
          <w:lang w:eastAsia="zh-CN"/>
        </w:rPr>
        <w:t>安全数据集（SS）：所有随机化，且接受了研究药物，有安全性指标记录的受试者。</w:t>
      </w:r>
    </w:p>
    <w:p>
      <w:pPr>
        <w:widowControl w:val="0"/>
        <w:numPr>
          <w:ilvl w:val="0"/>
          <w:numId w:val="31"/>
        </w:numPr>
        <w:autoSpaceDE w:val="0"/>
        <w:autoSpaceDN w:val="0"/>
        <w:adjustRightInd w:val="0"/>
        <w:contextualSpacing/>
        <w:rPr>
          <w:bCs/>
          <w:lang w:eastAsia="zh-CN"/>
        </w:rPr>
      </w:pPr>
      <w:r>
        <w:rPr>
          <w:bCs/>
          <w:lang w:eastAsia="zh-CN"/>
        </w:rPr>
        <w:t>全分析集（FAS）：所有随机化的受试者。</w:t>
      </w:r>
    </w:p>
    <w:p>
      <w:pPr>
        <w:widowControl w:val="0"/>
        <w:numPr>
          <w:ilvl w:val="0"/>
          <w:numId w:val="31"/>
        </w:numPr>
        <w:autoSpaceDE w:val="0"/>
        <w:autoSpaceDN w:val="0"/>
        <w:adjustRightInd w:val="0"/>
        <w:contextualSpacing/>
        <w:rPr>
          <w:bCs/>
          <w:lang w:eastAsia="zh-CN"/>
        </w:rPr>
      </w:pPr>
      <w:r>
        <w:rPr>
          <w:bCs/>
          <w:lang w:eastAsia="zh-CN"/>
        </w:rPr>
        <w:t>PK参数集（PKPS）：包括接受过至少一次研究药物的受试者中获得的药代动力学参数数据集。</w:t>
      </w:r>
      <w:r>
        <w:rPr>
          <w:rFonts w:hint="eastAsia"/>
          <w:bCs/>
          <w:lang w:eastAsia="zh-CN"/>
        </w:rPr>
        <w:t>即</w:t>
      </w:r>
      <w:r>
        <w:rPr>
          <w:bCs/>
          <w:lang w:eastAsia="zh-CN"/>
        </w:rPr>
        <w:t>：所有随机化且接受了研究药物，试验期间至少有1个有效PK参数的受试者。本数据集的作用在于描述性统计受试者的药代动力学参数数据。</w:t>
      </w:r>
    </w:p>
    <w:p>
      <w:pPr>
        <w:widowControl w:val="0"/>
        <w:numPr>
          <w:ilvl w:val="0"/>
          <w:numId w:val="31"/>
        </w:numPr>
        <w:autoSpaceDE w:val="0"/>
        <w:autoSpaceDN w:val="0"/>
        <w:adjustRightInd w:val="0"/>
        <w:contextualSpacing/>
        <w:rPr>
          <w:bCs/>
          <w:lang w:eastAsia="zh-CN"/>
        </w:rPr>
      </w:pPr>
      <w:r>
        <w:rPr>
          <w:rFonts w:hint="eastAsia"/>
          <w:bCs/>
          <w:lang w:eastAsia="zh-CN"/>
        </w:rPr>
        <w:t>生物等效性</w:t>
      </w:r>
      <w:r>
        <w:rPr>
          <w:bCs/>
          <w:lang w:eastAsia="zh-CN"/>
        </w:rPr>
        <w:t>集（BES）：通常包括至少一个周期且具有至少一个可评价药代动力学参数的统计分析集。</w:t>
      </w:r>
      <w:r>
        <w:rPr>
          <w:rFonts w:hint="eastAsia"/>
          <w:bCs/>
          <w:lang w:eastAsia="zh-CN"/>
        </w:rPr>
        <w:t>不纳入</w:t>
      </w:r>
      <w:r>
        <w:rPr>
          <w:bCs/>
          <w:lang w:eastAsia="zh-CN"/>
        </w:rPr>
        <w:t>BES</w:t>
      </w:r>
      <w:r>
        <w:rPr>
          <w:rFonts w:hint="eastAsia"/>
          <w:bCs/>
          <w:lang w:eastAsia="zh-CN"/>
        </w:rPr>
        <w:t>的</w:t>
      </w:r>
      <w:r>
        <w:rPr>
          <w:bCs/>
          <w:lang w:eastAsia="zh-CN"/>
        </w:rPr>
        <w:t>情况</w:t>
      </w:r>
      <w:r>
        <w:rPr>
          <w:rFonts w:hint="eastAsia"/>
          <w:bCs/>
          <w:lang w:eastAsia="zh-CN"/>
        </w:rPr>
        <w:t>还包括：</w:t>
      </w:r>
      <w:r>
        <w:rPr>
          <w:bCs/>
          <w:lang w:eastAsia="zh-CN"/>
        </w:rPr>
        <w:t>1)</w:t>
      </w:r>
      <w:r>
        <w:rPr>
          <w:rFonts w:hint="eastAsia"/>
          <w:bCs/>
          <w:lang w:eastAsia="zh-CN"/>
        </w:rPr>
        <w:t>因严重违背方案入选，影响</w:t>
      </w:r>
      <w:r>
        <w:rPr>
          <w:bCs/>
          <w:lang w:eastAsia="zh-CN"/>
        </w:rPr>
        <w:t>PK</w:t>
      </w:r>
      <w:r>
        <w:rPr>
          <w:rFonts w:hint="eastAsia"/>
          <w:bCs/>
          <w:lang w:eastAsia="zh-CN"/>
        </w:rPr>
        <w:t>参数结果，或无法估测参数，此</w:t>
      </w:r>
      <w:r>
        <w:rPr>
          <w:bCs/>
          <w:lang w:eastAsia="zh-CN"/>
        </w:rPr>
        <w:t>周期不纳入</w:t>
      </w:r>
      <w:r>
        <w:rPr>
          <w:rFonts w:hint="eastAsia"/>
          <w:bCs/>
          <w:lang w:eastAsia="zh-CN"/>
        </w:rPr>
        <w:t>；</w:t>
      </w:r>
      <w:r>
        <w:rPr>
          <w:bCs/>
          <w:lang w:eastAsia="zh-CN"/>
        </w:rPr>
        <w:t>2)</w:t>
      </w:r>
      <w:r>
        <w:rPr>
          <w:rFonts w:hint="eastAsia"/>
          <w:bCs/>
          <w:lang w:eastAsia="zh-CN"/>
        </w:rPr>
        <w:t>受试者给药前浓度</w:t>
      </w:r>
      <w:r>
        <w:rPr>
          <w:bCs/>
          <w:lang w:eastAsia="zh-CN"/>
        </w:rPr>
        <w:t>&gt;C</w:t>
      </w:r>
      <w:r>
        <w:rPr>
          <w:bCs/>
          <w:vertAlign w:val="subscript"/>
          <w:lang w:eastAsia="zh-CN"/>
        </w:rPr>
        <w:t>max</w:t>
      </w:r>
      <w:r>
        <w:rPr>
          <w:rFonts w:hint="eastAsia"/>
          <w:bCs/>
          <w:lang w:eastAsia="zh-CN"/>
        </w:rPr>
        <w:t>的</w:t>
      </w:r>
      <w:r>
        <w:rPr>
          <w:bCs/>
          <w:lang w:eastAsia="zh-CN"/>
        </w:rPr>
        <w:t>5%</w:t>
      </w:r>
      <w:r>
        <w:rPr>
          <w:rFonts w:hint="eastAsia"/>
          <w:bCs/>
          <w:lang w:eastAsia="zh-CN"/>
        </w:rPr>
        <w:t>，此</w:t>
      </w:r>
      <w:r>
        <w:rPr>
          <w:bCs/>
          <w:lang w:eastAsia="zh-CN"/>
        </w:rPr>
        <w:t>周期不纳入</w:t>
      </w:r>
      <w:r>
        <w:rPr>
          <w:rFonts w:hint="eastAsia"/>
          <w:bCs/>
          <w:lang w:eastAsia="zh-CN"/>
        </w:rPr>
        <w:t>；</w:t>
      </w:r>
      <w:r>
        <w:rPr>
          <w:bCs/>
          <w:lang w:eastAsia="zh-CN"/>
        </w:rPr>
        <w:t>3</w:t>
      </w:r>
      <w:r>
        <w:rPr>
          <w:rFonts w:hint="eastAsia"/>
          <w:bCs/>
          <w:lang w:eastAsia="zh-CN"/>
        </w:rPr>
        <w:t>）在服用研究药物后</w:t>
      </w:r>
      <w:r>
        <w:rPr>
          <w:bCs/>
          <w:lang w:eastAsia="zh-CN"/>
        </w:rPr>
        <w:t>2</w:t>
      </w:r>
      <w:r>
        <w:rPr>
          <w:rFonts w:hint="eastAsia"/>
          <w:bCs/>
          <w:lang w:eastAsia="zh-CN"/>
        </w:rPr>
        <w:t>倍中位</w:t>
      </w:r>
      <w:r>
        <w:rPr>
          <w:bCs/>
          <w:lang w:eastAsia="zh-CN"/>
        </w:rPr>
        <w:t>T</w:t>
      </w:r>
      <w:r>
        <w:rPr>
          <w:bCs/>
          <w:vertAlign w:val="subscript"/>
          <w:lang w:eastAsia="zh-CN"/>
        </w:rPr>
        <w:t>max</w:t>
      </w:r>
      <w:r>
        <w:rPr>
          <w:rFonts w:hint="eastAsia"/>
          <w:bCs/>
          <w:lang w:eastAsia="zh-CN"/>
        </w:rPr>
        <w:t>时间内发生呕吐，此</w:t>
      </w:r>
      <w:r>
        <w:rPr>
          <w:bCs/>
          <w:lang w:eastAsia="zh-CN"/>
        </w:rPr>
        <w:t>周期不纳入</w:t>
      </w:r>
      <w:r>
        <w:rPr>
          <w:rFonts w:hint="eastAsia"/>
          <w:bCs/>
          <w:lang w:eastAsia="zh-CN"/>
        </w:rPr>
        <w:t>；</w:t>
      </w:r>
      <w:r>
        <w:rPr>
          <w:bCs/>
          <w:lang w:eastAsia="zh-CN"/>
        </w:rPr>
        <w:t>4)</w:t>
      </w:r>
      <w:r>
        <w:rPr>
          <w:rFonts w:hint="eastAsia"/>
          <w:bCs/>
          <w:lang w:eastAsia="zh-CN"/>
        </w:rPr>
        <w:t>首个样品为</w:t>
      </w:r>
      <w:r>
        <w:rPr>
          <w:bCs/>
          <w:lang w:eastAsia="zh-CN"/>
        </w:rPr>
        <w:t>C</w:t>
      </w:r>
      <w:r>
        <w:rPr>
          <w:bCs/>
          <w:vertAlign w:val="subscript"/>
          <w:lang w:eastAsia="zh-CN"/>
        </w:rPr>
        <w:t>max</w:t>
      </w:r>
      <w:r>
        <w:rPr>
          <w:rFonts w:hint="eastAsia"/>
          <w:bCs/>
          <w:lang w:eastAsia="zh-CN"/>
        </w:rPr>
        <w:t>，且未采集早期（给药后</w:t>
      </w:r>
      <w:r>
        <w:rPr>
          <w:bCs/>
          <w:lang w:eastAsia="zh-CN"/>
        </w:rPr>
        <w:t>5-15</w:t>
      </w:r>
      <w:r>
        <w:rPr>
          <w:rFonts w:hint="eastAsia"/>
          <w:bCs/>
          <w:lang w:eastAsia="zh-CN"/>
        </w:rPr>
        <w:t>分钟）样品的受试者数据，此</w:t>
      </w:r>
      <w:r>
        <w:rPr>
          <w:bCs/>
          <w:lang w:eastAsia="zh-CN"/>
        </w:rPr>
        <w:t>周期不纳入</w:t>
      </w:r>
      <w:r>
        <w:rPr>
          <w:rFonts w:hint="eastAsia"/>
          <w:bCs/>
          <w:lang w:eastAsia="zh-CN"/>
        </w:rPr>
        <w:t>；</w:t>
      </w:r>
      <w:r>
        <w:rPr>
          <w:bCs/>
          <w:lang w:eastAsia="zh-CN"/>
        </w:rPr>
        <w:t>5)</w:t>
      </w:r>
      <w:r>
        <w:rPr>
          <w:rFonts w:hint="eastAsia"/>
          <w:bCs/>
          <w:lang w:eastAsia="zh-CN"/>
        </w:rPr>
        <w:t>试验过程中出现合并用药，且对</w:t>
      </w:r>
      <w:r>
        <w:rPr>
          <w:bCs/>
          <w:lang w:eastAsia="zh-CN"/>
        </w:rPr>
        <w:t>PK</w:t>
      </w:r>
      <w:r>
        <w:rPr>
          <w:rFonts w:hint="eastAsia"/>
          <w:bCs/>
          <w:lang w:eastAsia="zh-CN"/>
        </w:rPr>
        <w:t>参数有影响，此</w:t>
      </w:r>
      <w:r>
        <w:rPr>
          <w:bCs/>
          <w:lang w:eastAsia="zh-CN"/>
        </w:rPr>
        <w:t>周期不纳入</w:t>
      </w:r>
      <w:r>
        <w:rPr>
          <w:rFonts w:hint="eastAsia"/>
          <w:bCs/>
          <w:lang w:eastAsia="zh-CN"/>
        </w:rPr>
        <w:t>。</w:t>
      </w:r>
      <w:r>
        <w:rPr>
          <w:bCs/>
          <w:lang w:eastAsia="zh-CN"/>
        </w:rPr>
        <w:t>本数据集是推断受试制剂和参比制剂是否生物等效的主要数据集。</w:t>
      </w:r>
    </w:p>
    <w:p>
      <w:pPr>
        <w:pStyle w:val="69"/>
        <w:numPr>
          <w:ilvl w:val="0"/>
          <w:numId w:val="30"/>
        </w:numPr>
        <w:autoSpaceDE w:val="0"/>
        <w:autoSpaceDN w:val="0"/>
        <w:snapToGrid/>
        <w:contextualSpacing/>
      </w:pPr>
      <w:bookmarkStart w:id="344" w:name="_Toc13470"/>
      <w:bookmarkStart w:id="345" w:name="_Toc464139000"/>
      <w:bookmarkStart w:id="346" w:name="_Toc27941"/>
      <w:bookmarkStart w:id="347" w:name="_Toc521510332"/>
      <w:bookmarkStart w:id="348" w:name="_Toc465862121"/>
      <w:r>
        <w:t>分析内容</w:t>
      </w:r>
      <w:bookmarkEnd w:id="344"/>
      <w:bookmarkEnd w:id="345"/>
      <w:bookmarkEnd w:id="346"/>
      <w:bookmarkEnd w:id="347"/>
      <w:bookmarkEnd w:id="348"/>
    </w:p>
    <w:p>
      <w:pPr>
        <w:widowControl w:val="0"/>
        <w:autoSpaceDE w:val="0"/>
        <w:autoSpaceDN w:val="0"/>
        <w:adjustRightInd w:val="0"/>
        <w:contextualSpacing/>
        <w:rPr>
          <w:b/>
          <w:bCs/>
        </w:rPr>
      </w:pPr>
      <w:bookmarkStart w:id="349" w:name="_Toc281239505"/>
      <w:r>
        <w:rPr>
          <w:b/>
          <w:bCs/>
        </w:rPr>
        <w:t>（1）受试者分布</w:t>
      </w:r>
      <w:bookmarkEnd w:id="349"/>
    </w:p>
    <w:p>
      <w:pPr>
        <w:widowControl w:val="0"/>
        <w:numPr>
          <w:ilvl w:val="0"/>
          <w:numId w:val="31"/>
        </w:numPr>
        <w:autoSpaceDE w:val="0"/>
        <w:autoSpaceDN w:val="0"/>
        <w:adjustRightInd w:val="0"/>
        <w:contextualSpacing/>
        <w:rPr>
          <w:bCs/>
          <w:lang w:eastAsia="zh-CN"/>
        </w:rPr>
      </w:pPr>
      <w:r>
        <w:rPr>
          <w:bCs/>
          <w:lang w:eastAsia="zh-CN"/>
        </w:rPr>
        <w:t>列出受试者分布的分析数据集。</w:t>
      </w:r>
    </w:p>
    <w:p>
      <w:pPr>
        <w:widowControl w:val="0"/>
        <w:numPr>
          <w:ilvl w:val="0"/>
          <w:numId w:val="31"/>
        </w:numPr>
        <w:autoSpaceDE w:val="0"/>
        <w:autoSpaceDN w:val="0"/>
        <w:adjustRightInd w:val="0"/>
        <w:contextualSpacing/>
        <w:rPr>
          <w:bCs/>
          <w:lang w:eastAsia="zh-CN"/>
        </w:rPr>
      </w:pPr>
      <w:r>
        <w:rPr>
          <w:bCs/>
          <w:lang w:eastAsia="zh-CN"/>
        </w:rPr>
        <w:t>列出受试者数据集列表。</w:t>
      </w:r>
    </w:p>
    <w:p>
      <w:pPr>
        <w:widowControl w:val="0"/>
        <w:autoSpaceDE w:val="0"/>
        <w:autoSpaceDN w:val="0"/>
        <w:adjustRightInd w:val="0"/>
        <w:contextualSpacing/>
        <w:rPr>
          <w:b/>
          <w:bCs/>
          <w:lang w:eastAsia="zh-CN"/>
        </w:rPr>
      </w:pPr>
      <w:bookmarkStart w:id="350" w:name="_Toc271792571"/>
      <w:bookmarkStart w:id="351" w:name="_Toc281239506"/>
      <w:r>
        <w:rPr>
          <w:b/>
          <w:bCs/>
          <w:lang w:eastAsia="zh-CN"/>
        </w:rPr>
        <w:t>（2）人口学资料及基线分析</w:t>
      </w:r>
      <w:bookmarkEnd w:id="350"/>
      <w:bookmarkEnd w:id="351"/>
    </w:p>
    <w:p>
      <w:pPr>
        <w:widowControl w:val="0"/>
        <w:numPr>
          <w:ilvl w:val="0"/>
          <w:numId w:val="31"/>
        </w:numPr>
        <w:autoSpaceDE w:val="0"/>
        <w:autoSpaceDN w:val="0"/>
        <w:adjustRightInd w:val="0"/>
        <w:contextualSpacing/>
        <w:rPr>
          <w:bCs/>
        </w:rPr>
      </w:pPr>
      <w:r>
        <w:rPr>
          <w:bCs/>
        </w:rPr>
        <w:t>根据FAS进行分析。</w:t>
      </w:r>
    </w:p>
    <w:p>
      <w:pPr>
        <w:widowControl w:val="0"/>
        <w:numPr>
          <w:ilvl w:val="0"/>
          <w:numId w:val="31"/>
        </w:numPr>
        <w:autoSpaceDE w:val="0"/>
        <w:autoSpaceDN w:val="0"/>
        <w:adjustRightInd w:val="0"/>
        <w:contextualSpacing/>
        <w:rPr>
          <w:bCs/>
          <w:lang w:eastAsia="zh-CN"/>
        </w:rPr>
      </w:pPr>
      <w:r>
        <w:rPr>
          <w:bCs/>
          <w:lang w:eastAsia="zh-CN"/>
        </w:rPr>
        <w:t>描述性统计人口学资料及其他基线特征值。</w:t>
      </w:r>
    </w:p>
    <w:p>
      <w:pPr>
        <w:widowControl w:val="0"/>
        <w:numPr>
          <w:ilvl w:val="0"/>
          <w:numId w:val="31"/>
        </w:numPr>
        <w:autoSpaceDE w:val="0"/>
        <w:autoSpaceDN w:val="0"/>
        <w:adjustRightInd w:val="0"/>
        <w:contextualSpacing/>
        <w:rPr>
          <w:bCs/>
          <w:lang w:eastAsia="zh-CN"/>
        </w:rPr>
      </w:pPr>
      <w:r>
        <w:rPr>
          <w:bCs/>
          <w:lang w:eastAsia="zh-CN"/>
        </w:rPr>
        <w:t>连续变量计算其例数、均值、标准差、中位数、最小值和最大值。</w:t>
      </w:r>
    </w:p>
    <w:p>
      <w:pPr>
        <w:widowControl w:val="0"/>
        <w:numPr>
          <w:ilvl w:val="0"/>
          <w:numId w:val="31"/>
        </w:numPr>
        <w:autoSpaceDE w:val="0"/>
        <w:autoSpaceDN w:val="0"/>
        <w:adjustRightInd w:val="0"/>
        <w:contextualSpacing/>
        <w:rPr>
          <w:bCs/>
          <w:lang w:eastAsia="zh-CN"/>
        </w:rPr>
      </w:pPr>
      <w:r>
        <w:rPr>
          <w:bCs/>
          <w:lang w:eastAsia="zh-CN"/>
        </w:rPr>
        <w:t>计数和等级资料计算</w:t>
      </w:r>
      <w:r>
        <w:rPr>
          <w:rFonts w:hint="eastAsia"/>
          <w:bCs/>
          <w:lang w:eastAsia="zh-CN"/>
        </w:rPr>
        <w:t>例数和百分比</w:t>
      </w:r>
      <w:r>
        <w:rPr>
          <w:bCs/>
          <w:lang w:eastAsia="zh-CN"/>
        </w:rPr>
        <w:t>。</w:t>
      </w:r>
    </w:p>
    <w:p>
      <w:pPr>
        <w:widowControl w:val="0"/>
        <w:autoSpaceDE w:val="0"/>
        <w:autoSpaceDN w:val="0"/>
        <w:adjustRightInd w:val="0"/>
        <w:contextualSpacing/>
        <w:rPr>
          <w:b/>
          <w:bCs/>
          <w:lang w:eastAsia="zh-CN"/>
        </w:rPr>
      </w:pPr>
      <w:r>
        <w:rPr>
          <w:b/>
          <w:bCs/>
          <w:lang w:eastAsia="zh-CN"/>
        </w:rPr>
        <w:t>（3）用药依从性和合并用药分析</w:t>
      </w:r>
    </w:p>
    <w:p>
      <w:pPr>
        <w:widowControl w:val="0"/>
        <w:numPr>
          <w:ilvl w:val="0"/>
          <w:numId w:val="31"/>
        </w:numPr>
        <w:autoSpaceDE w:val="0"/>
        <w:autoSpaceDN w:val="0"/>
        <w:adjustRightInd w:val="0"/>
        <w:contextualSpacing/>
        <w:rPr>
          <w:bCs/>
        </w:rPr>
      </w:pPr>
      <w:r>
        <w:rPr>
          <w:bCs/>
        </w:rPr>
        <w:t>根据FAS进行分析。</w:t>
      </w:r>
    </w:p>
    <w:p>
      <w:pPr>
        <w:widowControl w:val="0"/>
        <w:numPr>
          <w:ilvl w:val="0"/>
          <w:numId w:val="31"/>
        </w:numPr>
        <w:autoSpaceDE w:val="0"/>
        <w:autoSpaceDN w:val="0"/>
        <w:adjustRightInd w:val="0"/>
        <w:contextualSpacing/>
        <w:rPr>
          <w:bCs/>
          <w:lang w:eastAsia="zh-CN"/>
        </w:rPr>
      </w:pPr>
      <w:r>
        <w:rPr>
          <w:bCs/>
          <w:lang w:eastAsia="zh-CN"/>
        </w:rPr>
        <w:t>用药依从性分析：分析是否按时按量使用试验药物。</w:t>
      </w:r>
    </w:p>
    <w:p>
      <w:pPr>
        <w:widowControl w:val="0"/>
        <w:numPr>
          <w:ilvl w:val="0"/>
          <w:numId w:val="31"/>
        </w:numPr>
        <w:autoSpaceDE w:val="0"/>
        <w:autoSpaceDN w:val="0"/>
        <w:adjustRightInd w:val="0"/>
        <w:contextualSpacing/>
        <w:rPr>
          <w:bCs/>
          <w:lang w:eastAsia="zh-CN"/>
        </w:rPr>
      </w:pPr>
      <w:r>
        <w:rPr>
          <w:bCs/>
          <w:lang w:eastAsia="zh-CN"/>
        </w:rPr>
        <w:t>采用列表形式详细描述合并用药的情况。</w:t>
      </w:r>
    </w:p>
    <w:p>
      <w:pPr>
        <w:widowControl w:val="0"/>
        <w:autoSpaceDE w:val="0"/>
        <w:autoSpaceDN w:val="0"/>
        <w:adjustRightInd w:val="0"/>
        <w:contextualSpacing/>
        <w:rPr>
          <w:b/>
          <w:bCs/>
        </w:rPr>
      </w:pPr>
      <w:r>
        <w:rPr>
          <w:b/>
          <w:bCs/>
        </w:rPr>
        <w:t>（4）药代动力学分析</w:t>
      </w:r>
    </w:p>
    <w:p>
      <w:pPr>
        <w:widowControl w:val="0"/>
        <w:numPr>
          <w:ilvl w:val="0"/>
          <w:numId w:val="32"/>
        </w:numPr>
        <w:autoSpaceDE w:val="0"/>
        <w:autoSpaceDN w:val="0"/>
        <w:adjustRightInd w:val="0"/>
        <w:contextualSpacing/>
        <w:rPr>
          <w:lang w:eastAsia="zh-CN"/>
        </w:rPr>
      </w:pPr>
      <w:r>
        <w:rPr>
          <w:bCs/>
          <w:lang w:eastAsia="zh-CN"/>
        </w:rPr>
        <w:t>关键</w:t>
      </w:r>
      <w:r>
        <w:rPr>
          <w:lang w:eastAsia="zh-CN"/>
        </w:rPr>
        <w:t>PK数据点约定：a）采样时间点未超出时间窗者，按计划采样时间计算；b）超出时间窗者，按照实际采样时间计算。c）低于定量下限的所有血药浓度值，在进行PK分析时在T</w:t>
      </w:r>
      <w:r>
        <w:rPr>
          <w:vertAlign w:val="subscript"/>
          <w:lang w:eastAsia="zh-CN"/>
        </w:rPr>
        <w:t>max</w:t>
      </w:r>
      <w:r>
        <w:rPr>
          <w:lang w:eastAsia="zh-CN"/>
        </w:rPr>
        <w:t>之前的按照“0”处理，在T</w:t>
      </w:r>
      <w:r>
        <w:rPr>
          <w:vertAlign w:val="subscript"/>
          <w:lang w:eastAsia="zh-CN"/>
        </w:rPr>
        <w:t>max</w:t>
      </w:r>
      <w:r>
        <w:rPr>
          <w:lang w:eastAsia="zh-CN"/>
        </w:rPr>
        <w:t>之后，按照缺失处理。</w:t>
      </w:r>
    </w:p>
    <w:p>
      <w:pPr>
        <w:widowControl w:val="0"/>
        <w:numPr>
          <w:ilvl w:val="0"/>
          <w:numId w:val="32"/>
        </w:numPr>
        <w:autoSpaceDE w:val="0"/>
        <w:autoSpaceDN w:val="0"/>
        <w:adjustRightInd w:val="0"/>
        <w:contextualSpacing/>
        <w:rPr>
          <w:lang w:eastAsia="zh-CN"/>
        </w:rPr>
      </w:pPr>
      <w:r>
        <w:rPr>
          <w:bCs/>
          <w:lang w:eastAsia="zh-CN"/>
        </w:rPr>
        <w:t>血药浓度</w:t>
      </w:r>
      <w:r>
        <w:rPr>
          <w:lang w:eastAsia="zh-CN"/>
        </w:rPr>
        <w:t>（c）-时间（t）数据分析：采用PK</w:t>
      </w:r>
      <w:r>
        <w:rPr>
          <w:rFonts w:hint="eastAsia"/>
          <w:lang w:eastAsia="zh-CN"/>
        </w:rPr>
        <w:t>P</w:t>
      </w:r>
      <w:r>
        <w:rPr>
          <w:lang w:eastAsia="zh-CN"/>
        </w:rPr>
        <w:t>S，分别绘制个体和平均c-t曲线、半对数c-t曲线；列出时间点药浓均值、标准差、中位数、最大值、最小值和变异系数。</w:t>
      </w:r>
      <w:r>
        <w:rPr>
          <w:rFonts w:hint="eastAsia"/>
          <w:color w:val="0000FF"/>
          <w:lang w:eastAsia="zh-CN"/>
        </w:rPr>
        <w:t>个体药时曲线会按照实际采血时间进行绘制，平均药时曲线会采用理论采血时间进行绘制。列表统计时采用理论采血时间进行汇总。</w:t>
      </w:r>
    </w:p>
    <w:p>
      <w:pPr>
        <w:widowControl w:val="0"/>
        <w:numPr>
          <w:ilvl w:val="0"/>
          <w:numId w:val="32"/>
        </w:numPr>
        <w:autoSpaceDE w:val="0"/>
        <w:autoSpaceDN w:val="0"/>
        <w:adjustRightInd w:val="0"/>
        <w:contextualSpacing/>
        <w:rPr>
          <w:lang w:eastAsia="zh-CN"/>
        </w:rPr>
      </w:pPr>
      <w:r>
        <w:rPr>
          <w:lang w:eastAsia="zh-CN"/>
        </w:rPr>
        <w:t>PK</w:t>
      </w:r>
      <w:r>
        <w:rPr>
          <w:bCs/>
          <w:lang w:eastAsia="zh-CN"/>
        </w:rPr>
        <w:t>参数</w:t>
      </w:r>
      <w:r>
        <w:rPr>
          <w:lang w:eastAsia="zh-CN"/>
        </w:rPr>
        <w:t>分析：采用PKPS，由非房室模型计算各受试者的药代参数。计算各参数的算术均数，标准差、变异系数、中位数、最大值、最小值和几何均数。若受试者的AUC</w:t>
      </w:r>
      <w:r>
        <w:rPr>
          <w:vertAlign w:val="subscript"/>
          <w:lang w:eastAsia="zh-CN"/>
        </w:rPr>
        <w:t>_%Extrap</w:t>
      </w:r>
      <w:r>
        <w:rPr>
          <w:lang w:eastAsia="zh-CN"/>
        </w:rPr>
        <w:t>&gt;20%，AUC</w:t>
      </w:r>
      <w:r>
        <w:rPr>
          <w:vertAlign w:val="subscript"/>
          <w:lang w:eastAsia="zh-CN"/>
        </w:rPr>
        <w:t>0-</w:t>
      </w:r>
      <w:r>
        <w:rPr>
          <w:rFonts w:hint="eastAsia"/>
          <w:vertAlign w:val="subscript"/>
          <w:lang w:eastAsia="zh-CN"/>
        </w:rPr>
        <w:t>∞</w:t>
      </w:r>
      <w:r>
        <w:rPr>
          <w:lang w:eastAsia="zh-CN"/>
        </w:rPr>
        <w:t>、t</w:t>
      </w:r>
      <w:r>
        <w:rPr>
          <w:vertAlign w:val="subscript"/>
          <w:lang w:eastAsia="zh-CN"/>
        </w:rPr>
        <w:t>1/2</w:t>
      </w:r>
      <w:r>
        <w:rPr>
          <w:lang w:eastAsia="zh-CN"/>
        </w:rPr>
        <w:t>不进行描述性统计分析</w:t>
      </w:r>
      <w:r>
        <w:rPr>
          <w:rFonts w:hint="eastAsia"/>
          <w:lang w:eastAsia="zh-CN"/>
        </w:rPr>
        <w:t>。</w:t>
      </w:r>
    </w:p>
    <w:p>
      <w:pPr>
        <w:widowControl w:val="0"/>
        <w:numPr>
          <w:ilvl w:val="0"/>
          <w:numId w:val="32"/>
        </w:numPr>
        <w:autoSpaceDE w:val="0"/>
        <w:autoSpaceDN w:val="0"/>
        <w:adjustRightInd w:val="0"/>
        <w:contextualSpacing/>
        <w:rPr>
          <w:lang w:eastAsia="zh-CN"/>
        </w:rPr>
      </w:pPr>
      <w:r>
        <w:rPr>
          <w:lang w:eastAsia="zh-CN"/>
        </w:rPr>
        <w:t>主要</w:t>
      </w:r>
      <w:r>
        <w:rPr>
          <w:bCs/>
          <w:lang w:eastAsia="zh-CN"/>
        </w:rPr>
        <w:t>评价</w:t>
      </w:r>
      <w:r>
        <w:rPr>
          <w:lang w:eastAsia="zh-CN"/>
        </w:rPr>
        <w:t>指标分析：采用BES，将C</w:t>
      </w:r>
      <w:r>
        <w:rPr>
          <w:vertAlign w:val="subscript"/>
          <w:lang w:eastAsia="zh-CN"/>
        </w:rPr>
        <w:t>max</w:t>
      </w:r>
      <w:r>
        <w:rPr>
          <w:lang w:eastAsia="zh-CN"/>
        </w:rPr>
        <w:t>、AUC</w:t>
      </w:r>
      <w:r>
        <w:rPr>
          <w:vertAlign w:val="subscript"/>
          <w:lang w:eastAsia="zh-CN"/>
        </w:rPr>
        <w:t>0-t</w:t>
      </w:r>
      <w:r>
        <w:rPr>
          <w:lang w:eastAsia="zh-CN"/>
        </w:rPr>
        <w:t>和AUC</w:t>
      </w:r>
      <w:r>
        <w:rPr>
          <w:vertAlign w:val="subscript"/>
          <w:lang w:eastAsia="zh-CN"/>
        </w:rPr>
        <w:t>0-</w:t>
      </w:r>
      <w:r>
        <w:rPr>
          <w:rFonts w:hint="eastAsia"/>
          <w:vertAlign w:val="subscript"/>
          <w:lang w:eastAsia="zh-CN"/>
        </w:rPr>
        <w:t>∞</w:t>
      </w:r>
      <w:r>
        <w:rPr>
          <w:lang w:eastAsia="zh-CN"/>
        </w:rPr>
        <w:t>经对数转换后进行方差分析(ANOVA)。方差分析模型中顺序、</w:t>
      </w:r>
      <w:r>
        <w:rPr>
          <w:rFonts w:hint="eastAsia"/>
          <w:lang w:eastAsia="zh-CN"/>
        </w:rPr>
        <w:t>制剂</w:t>
      </w:r>
      <w:r>
        <w:rPr>
          <w:lang w:eastAsia="zh-CN"/>
        </w:rPr>
        <w:t>、周期作为固定效应，受试者(顺序内)作为随机效应。计算主要指标的几何均值比(受试制剂/参比制剂)的90%置信区间</w:t>
      </w:r>
      <w:r>
        <w:rPr>
          <w:rFonts w:hint="eastAsia"/>
          <w:lang w:eastAsia="zh-CN"/>
        </w:rPr>
        <w:t>，并进行等效性判断，等效区间设定为</w:t>
      </w:r>
      <w:r>
        <w:rPr>
          <w:lang w:eastAsia="zh-CN"/>
        </w:rPr>
        <w:t>80.00~125.00%</w:t>
      </w:r>
      <w:r>
        <w:rPr>
          <w:rFonts w:hint="eastAsia"/>
          <w:lang w:eastAsia="zh-CN"/>
        </w:rPr>
        <w:t>。</w:t>
      </w:r>
      <w:r>
        <w:rPr>
          <w:lang w:eastAsia="zh-CN"/>
        </w:rPr>
        <w:t>同时列出双单侧t-检验结果。若受试者的AUC</w:t>
      </w:r>
      <w:r>
        <w:rPr>
          <w:vertAlign w:val="subscript"/>
          <w:lang w:eastAsia="zh-CN"/>
        </w:rPr>
        <w:t>_%Extrap</w:t>
      </w:r>
      <w:r>
        <w:rPr>
          <w:lang w:eastAsia="zh-CN"/>
        </w:rPr>
        <w:t>&gt;20%，AUC</w:t>
      </w:r>
      <w:r>
        <w:rPr>
          <w:vertAlign w:val="subscript"/>
          <w:lang w:eastAsia="zh-CN"/>
        </w:rPr>
        <w:t>0-</w:t>
      </w:r>
      <w:r>
        <w:rPr>
          <w:rFonts w:hint="eastAsia"/>
          <w:vertAlign w:val="subscript"/>
          <w:lang w:eastAsia="zh-CN"/>
        </w:rPr>
        <w:t>∞</w:t>
      </w:r>
      <w:r>
        <w:rPr>
          <w:lang w:eastAsia="zh-CN"/>
        </w:rPr>
        <w:t>不纳入分析。</w:t>
      </w:r>
    </w:p>
    <w:p>
      <w:pPr>
        <w:widowControl w:val="0"/>
        <w:autoSpaceDE w:val="0"/>
        <w:autoSpaceDN w:val="0"/>
        <w:adjustRightInd w:val="0"/>
        <w:contextualSpacing/>
        <w:rPr>
          <w:b/>
          <w:bCs/>
        </w:rPr>
      </w:pPr>
      <w:bookmarkStart w:id="352" w:name="_Toc281239508"/>
      <w:r>
        <w:rPr>
          <w:b/>
          <w:bCs/>
        </w:rPr>
        <w:t>（5）安全性分析</w:t>
      </w:r>
      <w:bookmarkEnd w:id="352"/>
    </w:p>
    <w:p>
      <w:pPr>
        <w:widowControl w:val="0"/>
        <w:numPr>
          <w:ilvl w:val="0"/>
          <w:numId w:val="33"/>
        </w:numPr>
        <w:autoSpaceDE w:val="0"/>
        <w:autoSpaceDN w:val="0"/>
        <w:adjustRightInd w:val="0"/>
        <w:contextualSpacing/>
        <w:rPr>
          <w:bCs/>
        </w:rPr>
      </w:pPr>
      <w:r>
        <w:rPr>
          <w:bCs/>
        </w:rPr>
        <w:t>根据SS分析。</w:t>
      </w:r>
    </w:p>
    <w:p>
      <w:pPr>
        <w:widowControl w:val="0"/>
        <w:numPr>
          <w:ilvl w:val="0"/>
          <w:numId w:val="33"/>
        </w:numPr>
        <w:autoSpaceDE w:val="0"/>
        <w:autoSpaceDN w:val="0"/>
        <w:adjustRightInd w:val="0"/>
        <w:contextualSpacing/>
        <w:rPr>
          <w:bCs/>
          <w:lang w:eastAsia="zh-CN"/>
        </w:rPr>
      </w:pPr>
      <w:r>
        <w:rPr>
          <w:bCs/>
          <w:lang w:eastAsia="zh-CN"/>
        </w:rPr>
        <w:t>计算不良事件、不良反应、严重不良事件的发生率。</w:t>
      </w:r>
    </w:p>
    <w:p>
      <w:pPr>
        <w:widowControl w:val="0"/>
        <w:numPr>
          <w:ilvl w:val="0"/>
          <w:numId w:val="33"/>
        </w:numPr>
        <w:autoSpaceDE w:val="0"/>
        <w:autoSpaceDN w:val="0"/>
        <w:adjustRightInd w:val="0"/>
        <w:contextualSpacing/>
        <w:rPr>
          <w:bCs/>
          <w:lang w:eastAsia="zh-CN"/>
        </w:rPr>
      </w:pPr>
      <w:r>
        <w:rPr>
          <w:bCs/>
          <w:lang w:eastAsia="zh-CN"/>
        </w:rPr>
        <w:t>不良事件：a）使用MedDRA术语进行编码，根据SOC/PT进行分类分析。b）按系统和严重程度统计不良事件、不良反应发生例数和例次。c）不良事件、不良反应、严重不良事件列表。</w:t>
      </w:r>
    </w:p>
    <w:p>
      <w:pPr>
        <w:widowControl w:val="0"/>
        <w:numPr>
          <w:ilvl w:val="0"/>
          <w:numId w:val="33"/>
        </w:numPr>
        <w:autoSpaceDE w:val="0"/>
        <w:autoSpaceDN w:val="0"/>
        <w:adjustRightInd w:val="0"/>
        <w:contextualSpacing/>
        <w:rPr>
          <w:bCs/>
          <w:lang w:eastAsia="zh-CN"/>
        </w:rPr>
      </w:pPr>
      <w:r>
        <w:rPr>
          <w:bCs/>
          <w:lang w:eastAsia="zh-CN"/>
        </w:rPr>
        <w:t>实验室检查：用药前后临床判定交叉表。</w:t>
      </w:r>
    </w:p>
    <w:p>
      <w:pPr>
        <w:widowControl w:val="0"/>
        <w:numPr>
          <w:ilvl w:val="0"/>
          <w:numId w:val="33"/>
        </w:numPr>
        <w:autoSpaceDE w:val="0"/>
        <w:autoSpaceDN w:val="0"/>
        <w:adjustRightInd w:val="0"/>
        <w:contextualSpacing/>
        <w:rPr>
          <w:bCs/>
          <w:lang w:eastAsia="zh-CN"/>
        </w:rPr>
      </w:pPr>
      <w:r>
        <w:rPr>
          <w:rFonts w:hint="eastAsia"/>
          <w:bCs/>
          <w:lang w:eastAsia="zh-CN"/>
        </w:rPr>
        <w:t>12-导联</w:t>
      </w:r>
      <w:r>
        <w:rPr>
          <w:bCs/>
          <w:lang w:eastAsia="zh-CN"/>
        </w:rPr>
        <w:t>心电图：用药前后临床判定交叉表。</w:t>
      </w:r>
    </w:p>
    <w:p>
      <w:pPr>
        <w:widowControl w:val="0"/>
        <w:numPr>
          <w:ilvl w:val="0"/>
          <w:numId w:val="33"/>
        </w:numPr>
        <w:autoSpaceDE w:val="0"/>
        <w:autoSpaceDN w:val="0"/>
        <w:adjustRightInd w:val="0"/>
        <w:contextualSpacing/>
        <w:rPr>
          <w:bCs/>
          <w:lang w:eastAsia="zh-CN"/>
        </w:rPr>
      </w:pPr>
      <w:r>
        <w:rPr>
          <w:rFonts w:hint="eastAsia"/>
          <w:bCs/>
          <w:lang w:eastAsia="zh-CN"/>
        </w:rPr>
        <w:t>体格检查</w:t>
      </w:r>
      <w:r>
        <w:rPr>
          <w:bCs/>
          <w:lang w:eastAsia="zh-CN"/>
        </w:rPr>
        <w:t>：用药前后临床判定交叉表。</w:t>
      </w:r>
    </w:p>
    <w:p>
      <w:pPr>
        <w:widowControl w:val="0"/>
        <w:numPr>
          <w:ilvl w:val="0"/>
          <w:numId w:val="33"/>
        </w:numPr>
        <w:autoSpaceDE w:val="0"/>
        <w:autoSpaceDN w:val="0"/>
        <w:adjustRightInd w:val="0"/>
        <w:contextualSpacing/>
        <w:rPr>
          <w:bCs/>
          <w:lang w:eastAsia="zh-CN"/>
        </w:rPr>
      </w:pPr>
      <w:r>
        <w:rPr>
          <w:bCs/>
          <w:lang w:eastAsia="zh-CN"/>
        </w:rPr>
        <w:t>生命体征各项指标实测值历时性变化。</w:t>
      </w:r>
      <w:bookmarkStart w:id="353" w:name="_Toc457401401"/>
      <w:bookmarkStart w:id="354" w:name="_Toc457203850"/>
      <w:bookmarkStart w:id="355" w:name="_Toc457401324"/>
      <w:bookmarkStart w:id="356" w:name="_Toc457290248"/>
    </w:p>
    <w:bookmarkEnd w:id="353"/>
    <w:bookmarkEnd w:id="354"/>
    <w:bookmarkEnd w:id="355"/>
    <w:bookmarkEnd w:id="356"/>
    <w:p>
      <w:pPr>
        <w:pStyle w:val="69"/>
        <w:numPr>
          <w:ilvl w:val="0"/>
          <w:numId w:val="30"/>
        </w:numPr>
        <w:autoSpaceDE w:val="0"/>
        <w:autoSpaceDN w:val="0"/>
        <w:snapToGrid/>
        <w:contextualSpacing/>
      </w:pPr>
      <w:bookmarkStart w:id="357" w:name="_Toc30306"/>
      <w:bookmarkStart w:id="358" w:name="_Toc521510333"/>
      <w:bookmarkStart w:id="359" w:name="_Toc464139001"/>
      <w:bookmarkStart w:id="360" w:name="_Toc465862122"/>
      <w:bookmarkStart w:id="361" w:name="_Toc25336"/>
      <w:r>
        <w:t>分析软件与一般要求</w:t>
      </w:r>
      <w:bookmarkEnd w:id="357"/>
      <w:bookmarkEnd w:id="358"/>
      <w:bookmarkEnd w:id="359"/>
      <w:bookmarkEnd w:id="360"/>
      <w:bookmarkEnd w:id="361"/>
    </w:p>
    <w:bookmarkEnd w:id="335"/>
    <w:p>
      <w:pPr>
        <w:widowControl w:val="0"/>
        <w:numPr>
          <w:ilvl w:val="0"/>
          <w:numId w:val="33"/>
        </w:numPr>
        <w:autoSpaceDE w:val="0"/>
        <w:autoSpaceDN w:val="0"/>
        <w:adjustRightInd w:val="0"/>
        <w:contextualSpacing/>
        <w:rPr>
          <w:bCs/>
          <w:lang w:eastAsia="zh-TW"/>
        </w:rPr>
      </w:pPr>
      <w:r>
        <w:rPr>
          <w:bCs/>
          <w:lang w:eastAsia="zh-TW"/>
        </w:rPr>
        <w:t>PK参数计算</w:t>
      </w:r>
      <w:r>
        <w:rPr>
          <w:rFonts w:hint="eastAsia"/>
          <w:bCs/>
          <w:lang w:eastAsia="zh-CN"/>
        </w:rPr>
        <w:t>和</w:t>
      </w:r>
      <w:r>
        <w:rPr>
          <w:bCs/>
          <w:lang w:eastAsia="zh-CN"/>
        </w:rPr>
        <w:t>分析</w:t>
      </w:r>
      <w:r>
        <w:rPr>
          <w:bCs/>
          <w:lang w:eastAsia="zh-TW"/>
        </w:rPr>
        <w:t>由PhoenixWinNonlin（8.0或以上版本）完成，其他</w:t>
      </w:r>
      <w:r>
        <w:rPr>
          <w:rFonts w:hint="eastAsia"/>
          <w:bCs/>
          <w:lang w:eastAsia="zh-CN"/>
        </w:rPr>
        <w:t>基线</w:t>
      </w:r>
      <w:r>
        <w:rPr>
          <w:bCs/>
          <w:lang w:eastAsia="zh-CN"/>
        </w:rPr>
        <w:t>特征和</w:t>
      </w:r>
      <w:r>
        <w:rPr>
          <w:rFonts w:hint="eastAsia"/>
          <w:bCs/>
          <w:lang w:eastAsia="zh-CN"/>
        </w:rPr>
        <w:t>安全性</w:t>
      </w:r>
      <w:r>
        <w:rPr>
          <w:bCs/>
          <w:lang w:eastAsia="zh-CN"/>
        </w:rPr>
        <w:t>数据</w:t>
      </w:r>
      <w:r>
        <w:rPr>
          <w:bCs/>
          <w:lang w:eastAsia="zh-TW"/>
        </w:rPr>
        <w:t>使用SAS（9.4或以上版本）软件分析。</w:t>
      </w:r>
    </w:p>
    <w:p>
      <w:pPr>
        <w:widowControl w:val="0"/>
        <w:numPr>
          <w:ilvl w:val="0"/>
          <w:numId w:val="33"/>
        </w:numPr>
        <w:autoSpaceDE w:val="0"/>
        <w:autoSpaceDN w:val="0"/>
        <w:adjustRightInd w:val="0"/>
        <w:contextualSpacing/>
        <w:rPr>
          <w:bCs/>
          <w:lang w:eastAsia="zh-CN"/>
        </w:rPr>
      </w:pPr>
      <w:r>
        <w:rPr>
          <w:bCs/>
          <w:lang w:eastAsia="zh-CN"/>
        </w:rPr>
        <w:t>详细的统计方法将在统计分析计划中提供。</w:t>
      </w:r>
    </w:p>
    <w:p>
      <w:pPr>
        <w:widowControl w:val="0"/>
        <w:autoSpaceDE w:val="0"/>
        <w:autoSpaceDN w:val="0"/>
        <w:adjustRightInd w:val="0"/>
        <w:spacing w:line="240" w:lineRule="auto"/>
        <w:ind w:left="424" w:firstLine="0"/>
        <w:contextualSpacing/>
        <w:rPr>
          <w:bCs/>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362" w:name="_Toc26302"/>
      <w:r>
        <w:rPr>
          <w:rFonts w:hint="eastAsia" w:ascii="Times New Roman" w:hAnsi="Times New Roman" w:eastAsiaTheme="minorEastAsia"/>
          <w:color w:val="auto"/>
          <w:sz w:val="24"/>
          <w:szCs w:val="24"/>
          <w:lang w:val="en-US" w:eastAsia="zh-CN"/>
        </w:rPr>
        <w:t xml:space="preserve">9    </w:t>
      </w:r>
      <w:r>
        <w:rPr>
          <w:rFonts w:ascii="Times New Roman" w:hAnsi="Times New Roman" w:eastAsiaTheme="minorEastAsia"/>
          <w:color w:val="auto"/>
          <w:sz w:val="24"/>
          <w:szCs w:val="24"/>
          <w:lang w:val="zh-TW" w:eastAsia="zh-TW"/>
        </w:rPr>
        <w:t>质量保证</w:t>
      </w:r>
      <w:bookmarkEnd w:id="330"/>
      <w:bookmarkEnd w:id="331"/>
      <w:bookmarkEnd w:id="332"/>
      <w:bookmarkEnd w:id="333"/>
      <w:bookmarkEnd w:id="334"/>
      <w:bookmarkEnd w:id="362"/>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eastAsia="zh-TW"/>
        </w:rPr>
      </w:pPr>
      <w:bookmarkStart w:id="363" w:name="_Toc447822864"/>
      <w:bookmarkStart w:id="364" w:name="_Toc21568"/>
      <w:bookmarkStart w:id="365" w:name="_Toc460500147"/>
      <w:bookmarkStart w:id="366" w:name="_Toc460952521"/>
      <w:bookmarkStart w:id="367" w:name="_Toc521584615"/>
      <w:r>
        <w:rPr>
          <w:rFonts w:ascii="Times New Roman" w:hAnsi="Times New Roman" w:eastAsia="宋体" w:cs="Times New Roman"/>
          <w:color w:val="auto"/>
          <w:sz w:val="24"/>
          <w:szCs w:val="24"/>
          <w:lang w:val="zh-TW" w:eastAsia="zh-TW"/>
        </w:rPr>
        <w:t>申办者、研究者均应建立各自的质量保证体系，履行各自的职责，并严格遵循临床试验方案，采用相应的标准操作规程，以保证临床试验的质量控制和质量保证系统的实施。</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eastAsia="zh-TW"/>
        </w:rPr>
      </w:pPr>
    </w:p>
    <w:p>
      <w:pPr>
        <w:pStyle w:val="4"/>
        <w:keepNext w:val="0"/>
        <w:keepLines w:val="0"/>
        <w:widowControl w:val="0"/>
        <w:numPr>
          <w:ilvl w:val="1"/>
          <w:numId w:val="34"/>
        </w:numPr>
        <w:autoSpaceDE w:val="0"/>
        <w:autoSpaceDN w:val="0"/>
        <w:adjustRightInd w:val="0"/>
        <w:spacing w:before="0" w:after="0" w:line="360" w:lineRule="auto"/>
        <w:ind w:left="527" w:hanging="527"/>
        <w:contextualSpacing/>
        <w:rPr>
          <w:rFonts w:ascii="Times New Roman" w:hAnsi="Times New Roman" w:eastAsia="宋体"/>
          <w:sz w:val="24"/>
          <w:szCs w:val="24"/>
          <w:lang w:val="zh-TW" w:eastAsia="zh-TW"/>
        </w:rPr>
      </w:pPr>
      <w:bookmarkStart w:id="368" w:name="_Toc2661"/>
      <w:bookmarkStart w:id="369" w:name="_Toc19260"/>
      <w:bookmarkStart w:id="370" w:name="_Toc447822856"/>
      <w:bookmarkStart w:id="371" w:name="_Toc460952518"/>
      <w:bookmarkStart w:id="372" w:name="_Toc521510335"/>
      <w:bookmarkStart w:id="373" w:name="_Toc460500144"/>
      <w:bookmarkStart w:id="374" w:name="_Toc5188"/>
      <w:r>
        <w:rPr>
          <w:rFonts w:ascii="Times New Roman" w:hAnsi="Times New Roman" w:eastAsia="宋体"/>
          <w:sz w:val="24"/>
          <w:szCs w:val="24"/>
          <w:lang w:val="zh-TW" w:eastAsia="zh-TW"/>
        </w:rPr>
        <w:t>临床试验过程的质量保证</w:t>
      </w:r>
      <w:bookmarkEnd w:id="368"/>
      <w:bookmarkEnd w:id="369"/>
      <w:bookmarkEnd w:id="370"/>
      <w:bookmarkEnd w:id="371"/>
      <w:bookmarkEnd w:id="372"/>
      <w:bookmarkEnd w:id="373"/>
      <w:bookmarkEnd w:id="374"/>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eastAsia="zh-TW"/>
        </w:rPr>
        <w:t>临床试验启动前，研究者应接受试验方案的培训，使研究人员对于临床试验方案及其各指标具体内涵有充分理解和认识。质控人员应对临床试验基本条件进行核查，确保临床试验条件能满足方案要求。试验过程中研究者</w:t>
      </w:r>
      <w:r>
        <w:rPr>
          <w:rFonts w:ascii="Times New Roman" w:hAnsi="Times New Roman" w:eastAsia="宋体" w:cs="Times New Roman"/>
          <w:color w:val="auto"/>
          <w:kern w:val="0"/>
          <w:sz w:val="24"/>
          <w:szCs w:val="24"/>
        </w:rPr>
        <w:t>应依据机构SOP和试验方案要求认真执行临床操作等工作，并真实、及时、完整、规范地进行记录。质控</w:t>
      </w:r>
      <w:r>
        <w:rPr>
          <w:rFonts w:ascii="Times New Roman" w:hAnsi="Times New Roman" w:eastAsia="宋体" w:cs="Times New Roman"/>
          <w:color w:val="auto"/>
          <w:sz w:val="24"/>
          <w:szCs w:val="24"/>
          <w:lang w:val="zh-TW" w:eastAsia="zh-TW"/>
        </w:rPr>
        <w:t>人员对试验流程以及相应的原始记录等进行质量核查。试验结束后，研究单位整理相应的项目文件，经质控人员核对后，归档保存。临床研究单位的质保部门对所开展的试验进行可实施性的稽查。当发现不符合项时，及时通知研究者和单位负责人进行改正，并追踪改正情况。</w:t>
      </w:r>
    </w:p>
    <w:p>
      <w:pPr>
        <w:pStyle w:val="4"/>
        <w:keepNext w:val="0"/>
        <w:keepLines w:val="0"/>
        <w:widowControl w:val="0"/>
        <w:numPr>
          <w:ilvl w:val="1"/>
          <w:numId w:val="34"/>
        </w:numPr>
        <w:autoSpaceDE w:val="0"/>
        <w:autoSpaceDN w:val="0"/>
        <w:adjustRightInd w:val="0"/>
        <w:spacing w:before="0" w:after="0" w:line="360" w:lineRule="auto"/>
        <w:ind w:left="527" w:hanging="527"/>
        <w:contextualSpacing/>
        <w:rPr>
          <w:rFonts w:ascii="Times New Roman" w:hAnsi="Times New Roman" w:eastAsia="宋体"/>
          <w:sz w:val="24"/>
          <w:szCs w:val="24"/>
          <w:lang w:val="zh-TW" w:eastAsia="zh-TW"/>
        </w:rPr>
      </w:pPr>
      <w:bookmarkStart w:id="375" w:name="_Toc75"/>
      <w:bookmarkStart w:id="376" w:name="_Toc521510336"/>
      <w:bookmarkStart w:id="377" w:name="_Toc6966"/>
      <w:bookmarkStart w:id="378" w:name="_Toc13932"/>
      <w:bookmarkStart w:id="379" w:name="_Toc447822857"/>
      <w:bookmarkStart w:id="380" w:name="_Toc460500145"/>
      <w:bookmarkStart w:id="381" w:name="_Toc460952519"/>
      <w:r>
        <w:rPr>
          <w:rFonts w:ascii="Times New Roman" w:hAnsi="Times New Roman" w:eastAsia="宋体"/>
          <w:sz w:val="24"/>
          <w:szCs w:val="24"/>
          <w:lang w:val="zh-TW" w:eastAsia="zh-TW"/>
        </w:rPr>
        <w:t>样品检测过程的质量保证</w:t>
      </w:r>
      <w:bookmarkEnd w:id="375"/>
      <w:bookmarkEnd w:id="376"/>
      <w:bookmarkEnd w:id="377"/>
      <w:bookmarkEnd w:id="378"/>
      <w:bookmarkEnd w:id="379"/>
      <w:bookmarkEnd w:id="380"/>
      <w:bookmarkEnd w:id="381"/>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lang w:val="zh-TW"/>
        </w:rPr>
      </w:pPr>
      <w:r>
        <w:rPr>
          <w:rFonts w:ascii="Times New Roman" w:hAnsi="Times New Roman" w:eastAsia="宋体" w:cs="Times New Roman"/>
          <w:color w:val="auto"/>
          <w:sz w:val="24"/>
          <w:szCs w:val="24"/>
          <w:lang w:val="zh-TW" w:eastAsia="zh-TW"/>
        </w:rPr>
        <w:t>承担分析的检测实验室应建立质量保证系统，严格遵照国内、国际相关技术指南标准、实验室标准操作规程和质量控制程序进行质量核查，制定核查计划，按照计划的内容进行核查。</w:t>
      </w:r>
    </w:p>
    <w:p>
      <w:pPr>
        <w:pStyle w:val="4"/>
        <w:keepNext w:val="0"/>
        <w:keepLines w:val="0"/>
        <w:widowControl w:val="0"/>
        <w:numPr>
          <w:ilvl w:val="1"/>
          <w:numId w:val="34"/>
        </w:numPr>
        <w:autoSpaceDE w:val="0"/>
        <w:autoSpaceDN w:val="0"/>
        <w:adjustRightInd w:val="0"/>
        <w:spacing w:before="0" w:after="0" w:line="360" w:lineRule="auto"/>
        <w:ind w:left="527" w:hanging="527"/>
        <w:contextualSpacing/>
        <w:rPr>
          <w:rFonts w:ascii="Times New Roman" w:hAnsi="Times New Roman" w:eastAsia="宋体"/>
          <w:sz w:val="24"/>
          <w:szCs w:val="24"/>
          <w:lang w:val="zh-TW" w:eastAsia="zh-TW"/>
        </w:rPr>
      </w:pPr>
      <w:bookmarkStart w:id="382" w:name="_Toc19920"/>
      <w:bookmarkStart w:id="383" w:name="_Toc521510337"/>
      <w:bookmarkStart w:id="384" w:name="_Toc447822858"/>
      <w:bookmarkStart w:id="385" w:name="_Toc460500146"/>
      <w:bookmarkStart w:id="386" w:name="_Toc5577"/>
      <w:bookmarkStart w:id="387" w:name="_Toc460952520"/>
      <w:bookmarkStart w:id="388" w:name="_Toc16663"/>
      <w:r>
        <w:rPr>
          <w:rFonts w:ascii="Times New Roman" w:hAnsi="Times New Roman" w:eastAsia="宋体"/>
          <w:sz w:val="24"/>
          <w:szCs w:val="24"/>
          <w:lang w:val="zh-TW" w:eastAsia="zh-TW"/>
        </w:rPr>
        <w:t>数据转移、计算和报告过程的质量保证</w:t>
      </w:r>
      <w:bookmarkEnd w:id="382"/>
      <w:bookmarkEnd w:id="383"/>
      <w:bookmarkEnd w:id="384"/>
      <w:bookmarkEnd w:id="385"/>
      <w:bookmarkEnd w:id="386"/>
      <w:bookmarkEnd w:id="387"/>
      <w:bookmarkEnd w:id="388"/>
    </w:p>
    <w:p>
      <w:pPr>
        <w:pStyle w:val="3"/>
        <w:autoSpaceDE w:val="0"/>
        <w:autoSpaceDN w:val="0"/>
        <w:adjustRightInd w:val="0"/>
        <w:ind w:left="0" w:firstLine="480"/>
        <w:contextualSpacing/>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研究中心数据录入eCRF后，质控人员应核对eCRF数据与原始记录的一致性，确保数据准确无误录入到eCRF中。监查员100%核查eCRF系统中试验数据录入是否完整、准确并与原始资料相一致。对于有疑问，或与原始资料不一致的数据项，及时提出质疑。并督促数据录入员和研究者答复质疑，核查并纠正不一致的数据。</w:t>
      </w:r>
    </w:p>
    <w:p>
      <w:pPr>
        <w:pStyle w:val="3"/>
        <w:autoSpaceDE w:val="0"/>
        <w:autoSpaceDN w:val="0"/>
        <w:adjustRightInd w:val="0"/>
        <w:ind w:left="0" w:firstLine="480" w:firstLineChars="200"/>
        <w:contextualSpacing/>
        <w:rPr>
          <w:rFonts w:ascii="Times New Roman" w:hAnsi="Times New Roman" w:eastAsia="宋体" w:cs="Times New Roman"/>
          <w:color w:val="auto"/>
          <w:sz w:val="24"/>
          <w:szCs w:val="24"/>
        </w:rPr>
      </w:pPr>
      <w:r>
        <w:rPr>
          <w:rFonts w:ascii="Times New Roman" w:hAnsi="Times New Roman" w:eastAsia="宋体" w:cs="Times New Roman"/>
          <w:color w:val="auto"/>
          <w:sz w:val="24"/>
          <w:szCs w:val="24"/>
          <w:lang w:val="zh-TW" w:eastAsia="zh-TW"/>
        </w:rPr>
        <w:t>数据管理部门人员采用逻辑核查方式，核查数据录入质量，对疑问的结果以质疑形式发送给研究者，由研究者核实后并进行修改。质控人员对数据管理文件、数据库数据进行核查。</w:t>
      </w:r>
    </w:p>
    <w:p>
      <w:pPr>
        <w:pStyle w:val="3"/>
        <w:autoSpaceDE w:val="0"/>
        <w:autoSpaceDN w:val="0"/>
        <w:adjustRightInd w:val="0"/>
        <w:ind w:left="0" w:firstLine="480" w:firstLineChars="200"/>
        <w:contextualSpacing/>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lang w:val="zh-TW" w:eastAsia="zh-TW"/>
        </w:rPr>
        <w:t>研究中心质量保证人员对数据转移文件、统计报告数据进行抽查，保证数据准确无误。</w:t>
      </w:r>
    </w:p>
    <w:p>
      <w:pPr>
        <w:pStyle w:val="3"/>
        <w:autoSpaceDE w:val="0"/>
        <w:autoSpaceDN w:val="0"/>
        <w:adjustRightInd w:val="0"/>
        <w:ind w:left="0" w:firstLine="480" w:firstLineChars="200"/>
        <w:contextualSpacing/>
        <w:rPr>
          <w:rFonts w:ascii="Times New Roman" w:hAnsi="Times New Roman" w:eastAsia="宋体" w:cs="Times New Roman"/>
          <w:color w:val="auto"/>
          <w:kern w:val="0"/>
          <w:sz w:val="24"/>
          <w:szCs w:val="24"/>
          <w:lang w:val="zh-TW" w:eastAsia="zh-TW"/>
        </w:rPr>
      </w:pPr>
      <w:r>
        <w:rPr>
          <w:rFonts w:ascii="Times New Roman" w:hAnsi="Times New Roman" w:eastAsia="宋体" w:cs="Times New Roman"/>
          <w:color w:val="auto"/>
          <w:kern w:val="0"/>
          <w:sz w:val="24"/>
          <w:szCs w:val="24"/>
          <w:lang w:val="zh-TW" w:eastAsia="zh-TW"/>
        </w:rPr>
        <w:t>申办方根据需要，结合试验进展情况及质量控制人员</w:t>
      </w:r>
      <w:r>
        <w:rPr>
          <w:rFonts w:ascii="Times New Roman" w:hAnsi="Times New Roman" w:eastAsia="宋体" w:cs="Times New Roman"/>
          <w:color w:val="auto"/>
          <w:kern w:val="0"/>
          <w:sz w:val="24"/>
          <w:szCs w:val="24"/>
        </w:rPr>
        <w:t>/</w:t>
      </w:r>
      <w:r>
        <w:rPr>
          <w:rFonts w:ascii="Times New Roman" w:hAnsi="Times New Roman" w:eastAsia="宋体" w:cs="Times New Roman"/>
          <w:color w:val="auto"/>
          <w:kern w:val="0"/>
          <w:sz w:val="24"/>
          <w:szCs w:val="24"/>
          <w:lang w:val="zh-TW" w:eastAsia="zh-TW"/>
        </w:rPr>
        <w:t>监查员的核查结果，对上述临床试验过程、样本检测过程、数据、报告和计算过程进行不同范畴的稽查。</w:t>
      </w:r>
    </w:p>
    <w:p>
      <w:pPr>
        <w:pStyle w:val="3"/>
        <w:autoSpaceDE w:val="0"/>
        <w:autoSpaceDN w:val="0"/>
        <w:adjustRightInd w:val="0"/>
        <w:spacing w:line="240" w:lineRule="auto"/>
        <w:ind w:left="0" w:firstLine="480" w:firstLineChars="200"/>
        <w:contextualSpacing/>
        <w:rPr>
          <w:rFonts w:ascii="Times New Roman" w:hAnsi="Times New Roman" w:eastAsia="宋体" w:cs="Times New Roman"/>
          <w:color w:val="auto"/>
          <w:kern w:val="0"/>
          <w:sz w:val="24"/>
          <w:szCs w:val="24"/>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eastAsia="zh-CN"/>
        </w:rPr>
      </w:pPr>
      <w:bookmarkStart w:id="389" w:name="_Toc21485"/>
      <w:r>
        <w:rPr>
          <w:rFonts w:hint="eastAsia" w:ascii="Times New Roman" w:hAnsi="Times New Roman" w:eastAsiaTheme="minorEastAsia"/>
          <w:color w:val="auto"/>
          <w:sz w:val="24"/>
          <w:szCs w:val="24"/>
          <w:lang w:val="en-US" w:eastAsia="zh-CN"/>
        </w:rPr>
        <w:t xml:space="preserve">10    </w:t>
      </w:r>
      <w:r>
        <w:rPr>
          <w:rFonts w:ascii="Times New Roman" w:hAnsi="Times New Roman" w:eastAsiaTheme="minorEastAsia"/>
          <w:color w:val="auto"/>
          <w:sz w:val="24"/>
          <w:szCs w:val="24"/>
          <w:lang w:val="zh-TW" w:eastAsia="zh-TW"/>
        </w:rPr>
        <w:t>试验过程中的异常情况处理</w:t>
      </w:r>
      <w:bookmarkEnd w:id="363"/>
      <w:bookmarkEnd w:id="364"/>
      <w:bookmarkEnd w:id="365"/>
      <w:bookmarkEnd w:id="366"/>
      <w:bookmarkEnd w:id="367"/>
      <w:bookmarkEnd w:id="389"/>
    </w:p>
    <w:p>
      <w:pPr>
        <w:pStyle w:val="4"/>
        <w:keepNext w:val="0"/>
        <w:keepLines w:val="0"/>
        <w:widowControl w:val="0"/>
        <w:numPr>
          <w:ilvl w:val="1"/>
          <w:numId w:val="35"/>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390" w:name="_Toc521584616"/>
      <w:bookmarkStart w:id="391" w:name="_Toc1337"/>
      <w:bookmarkStart w:id="392" w:name="_Toc460952522"/>
      <w:bookmarkStart w:id="393" w:name="_Toc460500148"/>
      <w:bookmarkStart w:id="394" w:name="_Toc447822865"/>
      <w:bookmarkStart w:id="395" w:name="_Toc16556"/>
      <w:r>
        <w:rPr>
          <w:rFonts w:ascii="Times New Roman" w:hAnsi="Times New Roman" w:eastAsiaTheme="minorEastAsia"/>
          <w:sz w:val="24"/>
          <w:szCs w:val="24"/>
          <w:lang w:val="zh-TW" w:eastAsia="zh-TW"/>
        </w:rPr>
        <w:t>终止试验标准</w:t>
      </w:r>
      <w:bookmarkEnd w:id="390"/>
      <w:bookmarkEnd w:id="391"/>
      <w:bookmarkEnd w:id="392"/>
      <w:bookmarkEnd w:id="393"/>
      <w:bookmarkEnd w:id="394"/>
      <w:bookmarkEnd w:id="395"/>
    </w:p>
    <w:p>
      <w:pPr>
        <w:pStyle w:val="3"/>
        <w:autoSpaceDE w:val="0"/>
        <w:autoSpaceDN w:val="0"/>
        <w:adjustRightInd w:val="0"/>
        <w:ind w:left="0" w:firstLine="480" w:firstLineChars="200"/>
        <w:contextualSpacing/>
        <w:rPr>
          <w:rFonts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lang w:val="zh-TW" w:eastAsia="zh-TW"/>
        </w:rPr>
        <w:t>本次临床研究发生如下情况将终止试验：</w:t>
      </w:r>
    </w:p>
    <w:p>
      <w:pPr>
        <w:pStyle w:val="3"/>
        <w:numPr>
          <w:ilvl w:val="0"/>
          <w:numId w:val="36"/>
        </w:numPr>
        <w:tabs>
          <w:tab w:val="left" w:pos="851"/>
        </w:tabs>
        <w:autoSpaceDE w:val="0"/>
        <w:autoSpaceDN w:val="0"/>
        <w:adjustRightInd w:val="0"/>
        <w:ind w:left="851" w:hanging="369"/>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在试验实施过程中，出现与试验药物相关的严重不良事件。</w:t>
      </w:r>
    </w:p>
    <w:p>
      <w:pPr>
        <w:pStyle w:val="3"/>
        <w:numPr>
          <w:ilvl w:val="0"/>
          <w:numId w:val="36"/>
        </w:numPr>
        <w:tabs>
          <w:tab w:val="left" w:pos="851"/>
        </w:tabs>
        <w:autoSpaceDE w:val="0"/>
        <w:autoSpaceDN w:val="0"/>
        <w:adjustRightInd w:val="0"/>
        <w:ind w:left="851" w:hanging="369"/>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在试验实施过程中发现重大偏差或者人为失误，严重影响试验质量，难以达到试验目的。</w:t>
      </w:r>
    </w:p>
    <w:p>
      <w:pPr>
        <w:pStyle w:val="3"/>
        <w:numPr>
          <w:ilvl w:val="0"/>
          <w:numId w:val="36"/>
        </w:numPr>
        <w:tabs>
          <w:tab w:val="left" w:pos="851"/>
        </w:tabs>
        <w:autoSpaceDE w:val="0"/>
        <w:autoSpaceDN w:val="0"/>
        <w:adjustRightInd w:val="0"/>
        <w:ind w:left="851" w:hanging="369"/>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在充分保障受试者权益和安全前提下申办者要求终止（如经费原因、管理原因等）。</w:t>
      </w:r>
    </w:p>
    <w:p>
      <w:pPr>
        <w:pStyle w:val="3"/>
        <w:numPr>
          <w:ilvl w:val="0"/>
          <w:numId w:val="36"/>
        </w:numPr>
        <w:tabs>
          <w:tab w:val="left" w:pos="851"/>
        </w:tabs>
        <w:autoSpaceDE w:val="0"/>
        <w:autoSpaceDN w:val="0"/>
        <w:adjustRightInd w:val="0"/>
        <w:ind w:left="851" w:hanging="369"/>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国家</w:t>
      </w:r>
      <w:r>
        <w:rPr>
          <w:rFonts w:hint="eastAsia" w:ascii="Times New Roman" w:hAnsi="Times New Roman" w:cs="Times New Roman" w:eastAsiaTheme="minorEastAsia"/>
          <w:color w:val="auto"/>
          <w:sz w:val="24"/>
          <w:szCs w:val="24"/>
          <w:lang w:val="zh-TW"/>
        </w:rPr>
        <w:t>药品</w:t>
      </w:r>
      <w:r>
        <w:rPr>
          <w:rFonts w:ascii="Times New Roman" w:hAnsi="Times New Roman" w:cs="Times New Roman" w:eastAsiaTheme="minorEastAsia"/>
          <w:color w:val="auto"/>
          <w:sz w:val="24"/>
          <w:szCs w:val="24"/>
          <w:lang w:val="zh-TW" w:eastAsia="zh-TW"/>
        </w:rPr>
        <w:t>监督管理局或伦理委员会因某种原因勒令终止试验。</w:t>
      </w:r>
    </w:p>
    <w:p>
      <w:pPr>
        <w:pStyle w:val="4"/>
        <w:keepNext w:val="0"/>
        <w:keepLines w:val="0"/>
        <w:widowControl w:val="0"/>
        <w:numPr>
          <w:ilvl w:val="1"/>
          <w:numId w:val="35"/>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396" w:name="_Toc447822866"/>
      <w:bookmarkStart w:id="397" w:name="_Toc460952523"/>
      <w:bookmarkStart w:id="398" w:name="_Toc521584617"/>
      <w:bookmarkStart w:id="399" w:name="_Toc4441"/>
      <w:bookmarkStart w:id="400" w:name="_Toc2149"/>
      <w:bookmarkStart w:id="401" w:name="_Toc460500149"/>
      <w:r>
        <w:rPr>
          <w:rFonts w:ascii="Times New Roman" w:hAnsi="Times New Roman" w:eastAsiaTheme="minorEastAsia"/>
          <w:sz w:val="24"/>
          <w:szCs w:val="24"/>
          <w:lang w:val="zh-TW" w:eastAsia="zh-TW"/>
        </w:rPr>
        <w:t>方案偏离或违背</w:t>
      </w:r>
      <w:bookmarkEnd w:id="396"/>
      <w:bookmarkEnd w:id="397"/>
      <w:bookmarkEnd w:id="398"/>
      <w:bookmarkEnd w:id="399"/>
      <w:bookmarkEnd w:id="400"/>
      <w:bookmarkEnd w:id="401"/>
    </w:p>
    <w:p>
      <w:pPr>
        <w:pStyle w:val="3"/>
        <w:autoSpaceDE w:val="0"/>
        <w:autoSpaceDN w:val="0"/>
        <w:adjustRightInd w:val="0"/>
        <w:ind w:left="0" w:firstLine="480" w:firstLineChars="200"/>
        <w:contextualSpacing/>
        <w:rPr>
          <w:rFonts w:ascii="Times New Roman" w:hAnsi="Times New Roman" w:cs="Times New Roman" w:eastAsiaTheme="minorEastAsia"/>
          <w:color w:val="auto"/>
          <w:kern w:val="0"/>
          <w:sz w:val="24"/>
          <w:szCs w:val="24"/>
        </w:rPr>
      </w:pPr>
      <w:r>
        <w:rPr>
          <w:rFonts w:ascii="Times New Roman" w:hAnsi="Times New Roman" w:cs="Times New Roman" w:eastAsiaTheme="minorEastAsia"/>
          <w:color w:val="auto"/>
          <w:kern w:val="0"/>
          <w:sz w:val="24"/>
          <w:szCs w:val="24"/>
        </w:rPr>
        <w:t>研究方案中规定的所有要求，必须严格执行。任何有意或无意偏离或违反试验方案和GCP原则的行为，均可归类为偏离方案或违反方案。监查员在监查过程中，如果发现偏离方案时应由研究者或监查员填写偏离方案记录，详细记录发现的时间、事件发生的时间及过程、原因及相应的处理措施，由研究者签字，并通报伦理委员会及申办者。在数据统计和总结报告中，研究者对发生的方案偏离或违背对最终数据和结论的影响进行分析和报告。</w:t>
      </w:r>
    </w:p>
    <w:p>
      <w:pPr>
        <w:pStyle w:val="3"/>
        <w:autoSpaceDE w:val="0"/>
        <w:autoSpaceDN w:val="0"/>
        <w:adjustRightInd w:val="0"/>
        <w:ind w:left="0" w:firstLine="480" w:firstLineChars="200"/>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当发生严重方案违背时，应进行评估。必要时，申办方可以提前终止本研究。</w:t>
      </w:r>
    </w:p>
    <w:p>
      <w:pPr>
        <w:pStyle w:val="3"/>
        <w:autoSpaceDE w:val="0"/>
        <w:autoSpaceDN w:val="0"/>
        <w:adjustRightInd w:val="0"/>
        <w:spacing w:line="240" w:lineRule="auto"/>
        <w:ind w:left="0" w:firstLine="480" w:firstLineChars="200"/>
        <w:contextualSpacing/>
        <w:rPr>
          <w:rFonts w:ascii="Times New Roman" w:hAnsi="Times New Roman" w:cs="Times New Roman" w:eastAsiaTheme="minorEastAsia"/>
          <w:color w:val="auto"/>
          <w:sz w:val="24"/>
          <w:szCs w:val="24"/>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rPr>
      </w:pPr>
      <w:bookmarkStart w:id="402" w:name="_Toc460500150"/>
      <w:bookmarkStart w:id="403" w:name="_Toc24068"/>
      <w:bookmarkStart w:id="404" w:name="_Toc447822867"/>
      <w:bookmarkStart w:id="405" w:name="_Toc460952524"/>
      <w:bookmarkStart w:id="406" w:name="_Toc521584618"/>
      <w:bookmarkStart w:id="407" w:name="_Toc27398"/>
      <w:r>
        <w:rPr>
          <w:rFonts w:hint="eastAsia" w:ascii="Times New Roman" w:hAnsi="Times New Roman" w:eastAsiaTheme="minorEastAsia"/>
          <w:color w:val="auto"/>
          <w:sz w:val="24"/>
          <w:szCs w:val="24"/>
          <w:lang w:val="en-US" w:eastAsia="zh-CN"/>
        </w:rPr>
        <w:t xml:space="preserve">11   </w:t>
      </w:r>
      <w:r>
        <w:rPr>
          <w:rFonts w:ascii="Times New Roman" w:hAnsi="Times New Roman" w:eastAsiaTheme="minorEastAsia"/>
          <w:color w:val="auto"/>
          <w:sz w:val="24"/>
          <w:szCs w:val="24"/>
          <w:lang w:val="zh-TW" w:eastAsia="zh-TW"/>
        </w:rPr>
        <w:t>方案修订情况</w:t>
      </w:r>
      <w:bookmarkEnd w:id="402"/>
      <w:bookmarkEnd w:id="403"/>
      <w:bookmarkEnd w:id="404"/>
      <w:bookmarkEnd w:id="405"/>
      <w:bookmarkEnd w:id="406"/>
      <w:bookmarkEnd w:id="407"/>
    </w:p>
    <w:tbl>
      <w:tblPr>
        <w:tblStyle w:val="27"/>
        <w:tblW w:w="9078"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91"/>
        <w:gridCol w:w="1390"/>
        <w:gridCol w:w="2550"/>
        <w:gridCol w:w="2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8" w:hRule="atLeast"/>
          <w:tblHeader/>
          <w:jc w:val="center"/>
        </w:trPr>
        <w:tc>
          <w:tcPr>
            <w:tcW w:w="2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
              <w:autoSpaceDE w:val="0"/>
              <w:autoSpaceDN w:val="0"/>
              <w:adjustRightInd w:val="0"/>
              <w:spacing w:line="240" w:lineRule="auto"/>
              <w:ind w:left="0" w:firstLine="0"/>
              <w:contextualSpacing/>
              <w:jc w:val="center"/>
              <w:rPr>
                <w:rFonts w:ascii="Times New Roman" w:hAnsi="Times New Roman" w:cs="Times New Roman" w:eastAsiaTheme="minorEastAsia"/>
                <w:b/>
                <w:color w:val="auto"/>
              </w:rPr>
            </w:pPr>
            <w:r>
              <w:rPr>
                <w:rFonts w:ascii="Times New Roman" w:hAnsi="Times New Roman" w:cs="Times New Roman" w:eastAsiaTheme="minorEastAsia"/>
                <w:b/>
                <w:color w:val="auto"/>
                <w:lang w:val="zh-TW" w:eastAsia="zh-TW"/>
              </w:rPr>
              <w:t>方案</w:t>
            </w:r>
            <w:r>
              <w:rPr>
                <w:rFonts w:ascii="Times New Roman" w:hAnsi="Times New Roman" w:cs="Times New Roman" w:eastAsiaTheme="minorEastAsia"/>
                <w:b/>
                <w:color w:val="auto"/>
              </w:rPr>
              <w:t>/</w:t>
            </w:r>
            <w:r>
              <w:rPr>
                <w:rFonts w:ascii="Times New Roman" w:hAnsi="Times New Roman" w:cs="Times New Roman" w:eastAsiaTheme="minorEastAsia"/>
                <w:b/>
                <w:color w:val="auto"/>
                <w:lang w:val="zh-TW" w:eastAsia="zh-TW"/>
              </w:rPr>
              <w:t>修订案编号</w:t>
            </w:r>
          </w:p>
        </w:tc>
        <w:tc>
          <w:tcPr>
            <w:tcW w:w="139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
              <w:autoSpaceDE w:val="0"/>
              <w:autoSpaceDN w:val="0"/>
              <w:adjustRightInd w:val="0"/>
              <w:spacing w:line="240" w:lineRule="auto"/>
              <w:ind w:left="0" w:firstLine="0"/>
              <w:contextualSpacing/>
              <w:jc w:val="center"/>
              <w:rPr>
                <w:rFonts w:ascii="Times New Roman" w:hAnsi="Times New Roman" w:cs="Times New Roman" w:eastAsiaTheme="minorEastAsia"/>
                <w:b/>
                <w:color w:val="auto"/>
              </w:rPr>
            </w:pPr>
            <w:r>
              <w:rPr>
                <w:rFonts w:ascii="Times New Roman" w:hAnsi="Times New Roman" w:cs="Times New Roman" w:eastAsiaTheme="minorEastAsia"/>
                <w:b/>
                <w:color w:val="auto"/>
                <w:lang w:val="zh-TW" w:eastAsia="zh-TW"/>
              </w:rPr>
              <w:t>版本号</w:t>
            </w:r>
          </w:p>
        </w:tc>
        <w:tc>
          <w:tcPr>
            <w:tcW w:w="255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
              <w:autoSpaceDE w:val="0"/>
              <w:autoSpaceDN w:val="0"/>
              <w:adjustRightInd w:val="0"/>
              <w:spacing w:line="240" w:lineRule="auto"/>
              <w:ind w:left="0" w:firstLine="0"/>
              <w:contextualSpacing/>
              <w:jc w:val="center"/>
              <w:rPr>
                <w:rFonts w:ascii="Times New Roman" w:hAnsi="Times New Roman" w:cs="Times New Roman" w:eastAsiaTheme="minorEastAsia"/>
                <w:b/>
                <w:color w:val="auto"/>
              </w:rPr>
            </w:pPr>
            <w:r>
              <w:rPr>
                <w:rFonts w:ascii="Times New Roman" w:hAnsi="Times New Roman" w:cs="Times New Roman" w:eastAsiaTheme="minorEastAsia"/>
                <w:b/>
                <w:color w:val="auto"/>
                <w:lang w:val="zh-TW" w:eastAsia="zh-TW"/>
              </w:rPr>
              <w:t>制定日期（版本日期）</w:t>
            </w:r>
          </w:p>
        </w:tc>
        <w:tc>
          <w:tcPr>
            <w:tcW w:w="29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
              <w:autoSpaceDE w:val="0"/>
              <w:autoSpaceDN w:val="0"/>
              <w:adjustRightInd w:val="0"/>
              <w:spacing w:line="240" w:lineRule="auto"/>
              <w:ind w:left="0" w:firstLine="0"/>
              <w:contextualSpacing/>
              <w:jc w:val="center"/>
              <w:rPr>
                <w:rFonts w:ascii="Times New Roman" w:hAnsi="Times New Roman" w:cs="Times New Roman" w:eastAsiaTheme="minorEastAsia"/>
                <w:b/>
                <w:color w:val="auto"/>
              </w:rPr>
            </w:pPr>
            <w:r>
              <w:rPr>
                <w:rFonts w:ascii="Times New Roman" w:hAnsi="Times New Roman" w:cs="Times New Roman" w:eastAsiaTheme="minorEastAsia"/>
                <w:b/>
                <w:color w:val="auto"/>
                <w:lang w:val="zh-TW" w:eastAsia="zh-TW"/>
              </w:rPr>
              <w:t>修订内容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25" w:hRule="atLeast"/>
          <w:jc w:val="center"/>
        </w:trPr>
        <w:tc>
          <w:tcPr>
            <w:tcW w:w="2191"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val="0"/>
              <w:autoSpaceDE w:val="0"/>
              <w:autoSpaceDN w:val="0"/>
              <w:adjustRightInd w:val="0"/>
              <w:spacing w:line="240" w:lineRule="auto"/>
              <w:ind w:left="0" w:firstLine="0"/>
              <w:contextualSpacing/>
              <w:jc w:val="center"/>
              <w:rPr>
                <w:rFonts w:eastAsiaTheme="minorEastAsia"/>
                <w:sz w:val="21"/>
                <w:szCs w:val="21"/>
                <w:lang w:eastAsia="zh-CN"/>
              </w:rPr>
            </w:pPr>
            <w:r>
              <w:rPr>
                <w:rFonts w:hint="eastAsia" w:eastAsiaTheme="minorEastAsia"/>
                <w:sz w:val="21"/>
                <w:szCs w:val="21"/>
                <w:lang w:eastAsia="zh-CN"/>
              </w:rPr>
              <w:t>XXXXXX</w:t>
            </w:r>
          </w:p>
        </w:tc>
        <w:tc>
          <w:tcPr>
            <w:tcW w:w="139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val="0"/>
              <w:autoSpaceDE w:val="0"/>
              <w:autoSpaceDN w:val="0"/>
              <w:adjustRightInd w:val="0"/>
              <w:spacing w:line="240" w:lineRule="auto"/>
              <w:ind w:left="0" w:firstLine="0"/>
              <w:contextualSpacing/>
              <w:jc w:val="center"/>
              <w:rPr>
                <w:rFonts w:eastAsiaTheme="minorEastAsia"/>
                <w:sz w:val="21"/>
                <w:szCs w:val="21"/>
                <w:lang w:eastAsia="zh-CN"/>
              </w:rPr>
            </w:pPr>
            <w:r>
              <w:rPr>
                <w:rFonts w:hint="eastAsia" w:eastAsiaTheme="minorEastAsia"/>
                <w:sz w:val="21"/>
                <w:szCs w:val="21"/>
                <w:lang w:eastAsia="zh-CN"/>
              </w:rPr>
              <w:t>V0.9</w:t>
            </w:r>
          </w:p>
        </w:tc>
        <w:tc>
          <w:tcPr>
            <w:tcW w:w="255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val="0"/>
              <w:autoSpaceDE w:val="0"/>
              <w:autoSpaceDN w:val="0"/>
              <w:adjustRightInd w:val="0"/>
              <w:spacing w:line="240" w:lineRule="auto"/>
              <w:ind w:left="0" w:firstLine="0"/>
              <w:contextualSpacing/>
              <w:jc w:val="center"/>
              <w:rPr>
                <w:rFonts w:eastAsiaTheme="minorEastAsia"/>
                <w:sz w:val="21"/>
                <w:szCs w:val="21"/>
                <w:lang w:eastAsia="zh-CN"/>
              </w:rPr>
            </w:pPr>
            <w:r>
              <w:rPr>
                <w:rFonts w:hint="eastAsia" w:eastAsiaTheme="minorEastAsia"/>
                <w:sz w:val="21"/>
                <w:szCs w:val="21"/>
                <w:lang w:eastAsia="zh-CN"/>
              </w:rPr>
              <w:t>2019.01.29</w:t>
            </w:r>
          </w:p>
        </w:tc>
        <w:tc>
          <w:tcPr>
            <w:tcW w:w="2947"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val="0"/>
              <w:autoSpaceDE w:val="0"/>
              <w:autoSpaceDN w:val="0"/>
              <w:adjustRightInd w:val="0"/>
              <w:spacing w:line="240" w:lineRule="auto"/>
              <w:ind w:left="0" w:firstLine="0"/>
              <w:contextualSpacing/>
              <w:jc w:val="center"/>
              <w:rPr>
                <w:rFonts w:eastAsiaTheme="minorEastAsia"/>
                <w:sz w:val="21"/>
                <w:szCs w:val="21"/>
                <w:lang w:eastAsia="zh-CN"/>
              </w:rPr>
            </w:pPr>
            <w:r>
              <w:rPr>
                <w:rFonts w:hint="eastAsia" w:eastAsiaTheme="minorEastAsia"/>
                <w:sz w:val="21"/>
                <w:szCs w:val="21"/>
                <w:lang w:eastAsia="zh-CN"/>
              </w:rPr>
              <w:t>第一稿</w:t>
            </w:r>
          </w:p>
        </w:tc>
      </w:tr>
    </w:tbl>
    <w:p>
      <w:pPr>
        <w:pStyle w:val="2"/>
        <w:keepNext w:val="0"/>
        <w:keepLines w:val="0"/>
        <w:autoSpaceDE w:val="0"/>
        <w:autoSpaceDN w:val="0"/>
        <w:adjustRightInd w:val="0"/>
        <w:spacing w:line="360" w:lineRule="auto"/>
        <w:ind w:left="0" w:firstLine="0"/>
        <w:contextualSpacing/>
        <w:rPr>
          <w:rFonts w:ascii="Times New Roman" w:hAnsi="Times New Roman" w:eastAsiaTheme="minorEastAsia"/>
          <w:color w:val="auto"/>
          <w:sz w:val="24"/>
          <w:szCs w:val="24"/>
        </w:rPr>
      </w:pPr>
      <w:bookmarkStart w:id="408" w:name="_Toc460500158"/>
      <w:bookmarkStart w:id="409" w:name="_Toc521584619"/>
      <w:bookmarkStart w:id="410" w:name="_Toc27007"/>
      <w:bookmarkStart w:id="411" w:name="_Toc460952530"/>
      <w:bookmarkStart w:id="412" w:name="_Toc447822871"/>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rPr>
      </w:pPr>
      <w:bookmarkStart w:id="413" w:name="_Toc29085"/>
      <w:r>
        <w:rPr>
          <w:rFonts w:hint="eastAsia" w:ascii="Times New Roman" w:hAnsi="Times New Roman" w:eastAsiaTheme="minorEastAsia"/>
          <w:color w:val="auto"/>
          <w:sz w:val="24"/>
          <w:szCs w:val="24"/>
          <w:lang w:val="en-US" w:eastAsia="zh-CN"/>
        </w:rPr>
        <w:t xml:space="preserve">12     </w:t>
      </w:r>
      <w:r>
        <w:rPr>
          <w:rFonts w:ascii="Times New Roman" w:hAnsi="Times New Roman" w:eastAsiaTheme="minorEastAsia"/>
          <w:color w:val="auto"/>
          <w:sz w:val="24"/>
          <w:szCs w:val="24"/>
          <w:lang w:val="zh-TW" w:eastAsia="zh-TW"/>
        </w:rPr>
        <w:t>伦理规范及知情同意</w:t>
      </w:r>
      <w:bookmarkEnd w:id="408"/>
      <w:bookmarkEnd w:id="409"/>
      <w:bookmarkEnd w:id="410"/>
      <w:bookmarkEnd w:id="411"/>
      <w:bookmarkEnd w:id="412"/>
      <w:bookmarkEnd w:id="413"/>
    </w:p>
    <w:p>
      <w:pPr>
        <w:pStyle w:val="4"/>
        <w:keepNext w:val="0"/>
        <w:keepLines w:val="0"/>
        <w:widowControl w:val="0"/>
        <w:numPr>
          <w:ilvl w:val="1"/>
          <w:numId w:val="37"/>
        </w:numPr>
        <w:autoSpaceDE w:val="0"/>
        <w:autoSpaceDN w:val="0"/>
        <w:adjustRightInd w:val="0"/>
        <w:spacing w:before="0" w:after="0" w:line="360" w:lineRule="auto"/>
        <w:ind w:left="527" w:hanging="527"/>
        <w:contextualSpacing/>
        <w:rPr>
          <w:rFonts w:ascii="Times New Roman" w:hAnsi="Times New Roman" w:eastAsiaTheme="minorEastAsia"/>
          <w:sz w:val="24"/>
          <w:szCs w:val="24"/>
          <w:lang w:val="zh-TW" w:eastAsia="zh-TW"/>
        </w:rPr>
      </w:pPr>
      <w:bookmarkStart w:id="414" w:name="_Toc460500159"/>
      <w:bookmarkStart w:id="415" w:name="_Toc447822872"/>
      <w:bookmarkStart w:id="416" w:name="_Toc460952531"/>
      <w:bookmarkStart w:id="417" w:name="_Toc26865"/>
      <w:bookmarkStart w:id="418" w:name="_Toc5791"/>
      <w:bookmarkStart w:id="419" w:name="_Toc521584620"/>
      <w:r>
        <w:rPr>
          <w:rFonts w:ascii="Times New Roman" w:hAnsi="Times New Roman" w:eastAsiaTheme="minorEastAsia"/>
          <w:sz w:val="24"/>
          <w:szCs w:val="24"/>
          <w:lang w:val="zh-TW" w:eastAsia="zh-TW"/>
        </w:rPr>
        <w:t>伦理规范</w:t>
      </w:r>
      <w:bookmarkEnd w:id="414"/>
      <w:bookmarkEnd w:id="415"/>
      <w:bookmarkEnd w:id="416"/>
      <w:bookmarkEnd w:id="417"/>
      <w:bookmarkEnd w:id="418"/>
      <w:bookmarkEnd w:id="419"/>
    </w:p>
    <w:p>
      <w:pPr>
        <w:pStyle w:val="3"/>
        <w:autoSpaceDE w:val="0"/>
        <w:autoSpaceDN w:val="0"/>
        <w:adjustRightInd w:val="0"/>
        <w:spacing w:line="348" w:lineRule="auto"/>
        <w:ind w:left="0" w:firstLine="480" w:firstLineChars="200"/>
        <w:contextualSpacing/>
        <w:rPr>
          <w:rFonts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lang w:val="zh-TW" w:eastAsia="zh-TW"/>
        </w:rPr>
        <w:t>本试验方案实施前需经</w:t>
      </w:r>
      <w:r>
        <w:rPr>
          <w:rFonts w:ascii="Times New Roman" w:hAnsi="Times New Roman" w:cs="Times New Roman" w:eastAsiaTheme="minorEastAsia"/>
          <w:color w:val="auto"/>
          <w:sz w:val="24"/>
          <w:szCs w:val="24"/>
          <w:lang w:val="zh-TW"/>
        </w:rPr>
        <w:t>广州市番禺中心医院</w:t>
      </w:r>
      <w:r>
        <w:rPr>
          <w:rFonts w:hint="eastAsia" w:ascii="Times New Roman" w:hAnsi="Times New Roman" w:cs="Times New Roman" w:eastAsiaTheme="minorEastAsia"/>
          <w:color w:val="auto"/>
          <w:sz w:val="24"/>
          <w:szCs w:val="24"/>
          <w:lang w:val="zh-TW"/>
        </w:rPr>
        <w:t>药物临床试验</w:t>
      </w:r>
      <w:r>
        <w:rPr>
          <w:rFonts w:ascii="Times New Roman" w:hAnsi="Times New Roman" w:cs="Times New Roman" w:eastAsiaTheme="minorEastAsia"/>
          <w:color w:val="auto"/>
          <w:sz w:val="24"/>
          <w:szCs w:val="24"/>
          <w:lang w:val="zh-TW" w:eastAsia="zh-TW"/>
        </w:rPr>
        <w:t>伦理委员会审核批准。审议时申办者和研究者应向该伦理委员会提供</w:t>
      </w:r>
      <w:r>
        <w:rPr>
          <w:rFonts w:ascii="Times New Roman" w:hAnsi="Times New Roman" w:cs="Times New Roman" w:eastAsiaTheme="minorEastAsia"/>
          <w:color w:val="auto"/>
          <w:sz w:val="24"/>
          <w:szCs w:val="24"/>
          <w:lang w:val="zh-TW"/>
        </w:rPr>
        <w:t>相关</w:t>
      </w:r>
      <w:r>
        <w:rPr>
          <w:rFonts w:ascii="Times New Roman" w:hAnsi="Times New Roman" w:cs="Times New Roman" w:eastAsiaTheme="minorEastAsia"/>
          <w:color w:val="auto"/>
          <w:sz w:val="24"/>
          <w:szCs w:val="24"/>
          <w:lang w:val="zh-TW" w:eastAsia="zh-TW"/>
        </w:rPr>
        <w:t>文件。本临床试验必须遵循《赫尔辛基宣言》（</w:t>
      </w:r>
      <w:r>
        <w:rPr>
          <w:rFonts w:ascii="Times New Roman" w:hAnsi="Times New Roman" w:cs="Times New Roman" w:eastAsiaTheme="minorEastAsia"/>
          <w:color w:val="auto"/>
          <w:sz w:val="24"/>
          <w:szCs w:val="24"/>
        </w:rPr>
        <w:t>2013</w:t>
      </w:r>
      <w:r>
        <w:rPr>
          <w:rFonts w:ascii="Times New Roman" w:hAnsi="Times New Roman" w:cs="Times New Roman" w:eastAsiaTheme="minorEastAsia"/>
          <w:color w:val="auto"/>
          <w:sz w:val="24"/>
          <w:szCs w:val="24"/>
          <w:lang w:val="zh-TW" w:eastAsia="zh-TW"/>
        </w:rPr>
        <w:t>年版）、《药物临床试验管理规范》（</w:t>
      </w:r>
      <w:r>
        <w:rPr>
          <w:rFonts w:ascii="Times New Roman" w:hAnsi="Times New Roman" w:cs="Times New Roman" w:eastAsiaTheme="minorEastAsia"/>
          <w:color w:val="auto"/>
          <w:sz w:val="24"/>
          <w:szCs w:val="24"/>
        </w:rPr>
        <w:t>GCP</w:t>
      </w:r>
      <w:r>
        <w:rPr>
          <w:rFonts w:ascii="Times New Roman" w:hAnsi="Times New Roman" w:cs="Times New Roman" w:eastAsiaTheme="minorEastAsia"/>
          <w:color w:val="auto"/>
          <w:sz w:val="24"/>
          <w:szCs w:val="24"/>
          <w:lang w:val="zh-TW" w:eastAsia="zh-TW"/>
        </w:rPr>
        <w:t>）以及相关的法规。在试验开始之前，必须获得</w:t>
      </w:r>
      <w:r>
        <w:rPr>
          <w:rFonts w:ascii="Times New Roman" w:hAnsi="Times New Roman" w:cs="Times New Roman" w:eastAsiaTheme="minorEastAsia"/>
          <w:color w:val="auto"/>
          <w:sz w:val="24"/>
          <w:szCs w:val="24"/>
          <w:lang w:val="zh-TW"/>
        </w:rPr>
        <w:t>广州市番禺中心医院</w:t>
      </w:r>
      <w:r>
        <w:rPr>
          <w:rFonts w:hint="eastAsia" w:ascii="Times New Roman" w:hAnsi="Times New Roman" w:cs="Times New Roman" w:eastAsiaTheme="minorEastAsia"/>
          <w:color w:val="auto"/>
          <w:sz w:val="24"/>
          <w:szCs w:val="24"/>
          <w:lang w:val="zh-TW"/>
        </w:rPr>
        <w:t>药物临床试验</w:t>
      </w:r>
      <w:r>
        <w:rPr>
          <w:rFonts w:ascii="Times New Roman" w:hAnsi="Times New Roman" w:cs="Times New Roman" w:eastAsiaTheme="minorEastAsia"/>
          <w:color w:val="auto"/>
          <w:sz w:val="24"/>
          <w:szCs w:val="24"/>
          <w:lang w:val="zh-TW" w:eastAsia="zh-TW"/>
        </w:rPr>
        <w:t>伦理委员会批准，方可开始本项研究。在临床研究期间，对试验方案所做的任何修改必须再经伦理委员会批准。研究者有责任依据伦理委员会相关要求定期递交试验</w:t>
      </w:r>
      <w:r>
        <w:rPr>
          <w:rFonts w:ascii="Times New Roman" w:hAnsi="Times New Roman" w:cs="Times New Roman" w:eastAsiaTheme="minorEastAsia"/>
          <w:color w:val="auto"/>
          <w:sz w:val="24"/>
          <w:szCs w:val="24"/>
          <w:lang w:val="zh-TW"/>
        </w:rPr>
        <w:t>进展</w:t>
      </w:r>
      <w:r>
        <w:rPr>
          <w:rFonts w:ascii="Times New Roman" w:hAnsi="Times New Roman" w:cs="Times New Roman" w:eastAsiaTheme="minorEastAsia"/>
          <w:color w:val="auto"/>
          <w:sz w:val="24"/>
          <w:szCs w:val="24"/>
          <w:lang w:val="zh-TW" w:eastAsia="zh-TW"/>
        </w:rPr>
        <w:t>报告，试验结束后应</w:t>
      </w:r>
      <w:r>
        <w:rPr>
          <w:rFonts w:ascii="Times New Roman" w:hAnsi="Times New Roman" w:cs="Times New Roman" w:eastAsiaTheme="minorEastAsia"/>
          <w:color w:val="auto"/>
          <w:sz w:val="24"/>
          <w:szCs w:val="24"/>
          <w:lang w:val="zh-TW"/>
        </w:rPr>
        <w:t>递交试验结题报告至</w:t>
      </w:r>
      <w:r>
        <w:rPr>
          <w:rFonts w:ascii="Times New Roman" w:hAnsi="Times New Roman" w:cs="Times New Roman" w:eastAsiaTheme="minorEastAsia"/>
          <w:color w:val="auto"/>
          <w:sz w:val="24"/>
          <w:szCs w:val="24"/>
          <w:lang w:val="zh-TW" w:eastAsia="zh-TW"/>
        </w:rPr>
        <w:t>伦理委员会</w:t>
      </w:r>
      <w:r>
        <w:rPr>
          <w:rFonts w:ascii="Times New Roman" w:hAnsi="Times New Roman" w:cs="Times New Roman" w:eastAsiaTheme="minorEastAsia"/>
          <w:color w:val="auto"/>
          <w:sz w:val="24"/>
          <w:szCs w:val="24"/>
          <w:lang w:val="zh-TW"/>
        </w:rPr>
        <w:t>审核</w:t>
      </w:r>
      <w:r>
        <w:rPr>
          <w:rFonts w:ascii="Times New Roman" w:hAnsi="Times New Roman" w:cs="Times New Roman" w:eastAsiaTheme="minorEastAsia"/>
          <w:color w:val="auto"/>
          <w:sz w:val="24"/>
          <w:szCs w:val="24"/>
          <w:lang w:val="zh-TW" w:eastAsia="zh-TW"/>
        </w:rPr>
        <w:t>。</w:t>
      </w:r>
    </w:p>
    <w:p>
      <w:pPr>
        <w:pStyle w:val="4"/>
        <w:keepNext w:val="0"/>
        <w:keepLines w:val="0"/>
        <w:widowControl w:val="0"/>
        <w:numPr>
          <w:ilvl w:val="1"/>
          <w:numId w:val="37"/>
        </w:numPr>
        <w:autoSpaceDE w:val="0"/>
        <w:autoSpaceDN w:val="0"/>
        <w:adjustRightInd w:val="0"/>
        <w:spacing w:before="0" w:after="0" w:line="348" w:lineRule="auto"/>
        <w:ind w:left="527" w:hanging="527"/>
        <w:contextualSpacing/>
        <w:rPr>
          <w:rFonts w:ascii="Times New Roman" w:hAnsi="Times New Roman" w:eastAsiaTheme="minorEastAsia"/>
          <w:sz w:val="24"/>
          <w:szCs w:val="24"/>
          <w:lang w:val="zh-TW" w:eastAsia="zh-TW"/>
        </w:rPr>
      </w:pPr>
      <w:bookmarkStart w:id="420" w:name="_Toc521584621"/>
      <w:bookmarkStart w:id="421" w:name="_Toc20424"/>
      <w:bookmarkStart w:id="422" w:name="_Toc460500160"/>
      <w:bookmarkStart w:id="423" w:name="_Toc8794"/>
      <w:bookmarkStart w:id="424" w:name="_Toc447822873"/>
      <w:bookmarkStart w:id="425" w:name="_Toc460952532"/>
      <w:r>
        <w:rPr>
          <w:rFonts w:ascii="Times New Roman" w:hAnsi="Times New Roman" w:eastAsiaTheme="minorEastAsia"/>
          <w:sz w:val="24"/>
          <w:szCs w:val="24"/>
          <w:lang w:val="zh-TW" w:eastAsia="zh-TW"/>
        </w:rPr>
        <w:t>知情同意</w:t>
      </w:r>
      <w:bookmarkEnd w:id="420"/>
      <w:bookmarkEnd w:id="421"/>
      <w:bookmarkEnd w:id="422"/>
      <w:bookmarkEnd w:id="423"/>
      <w:bookmarkEnd w:id="424"/>
      <w:bookmarkEnd w:id="425"/>
    </w:p>
    <w:p>
      <w:pPr>
        <w:pStyle w:val="3"/>
        <w:autoSpaceDE w:val="0"/>
        <w:autoSpaceDN w:val="0"/>
        <w:adjustRightInd w:val="0"/>
        <w:spacing w:line="348" w:lineRule="auto"/>
        <w:ind w:left="0" w:firstLine="480" w:firstLineChars="200"/>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受试者在接受本试验治疗前必须对参加本试验知情同意，以保障受试者的合法权益。研究者有责任向受试者完整、全面地介绍本研究的目的、研究的方式、药物的作用、合理的预期受益、可能出现的毒副反应和可能的风险，应让受试者知道他们的权利，所要承担的风险和受益，应及时告知受试者有关试验用药物的任何新信息。应告知受试者本临床试验完全是本着自愿参加的原则，受试者可以在试验过程中任何时间无条件退出试验，受试者不会因为退出试验受到任何惩罚。应告知受试者研究方和申办方有权依据相关法规的规定对受试者的试验数据进行阅读、保存和统计学处理。知情同意书应注明版本和制订日期或修改日期。只有充分了解本临床试验的风险和</w:t>
      </w:r>
      <w:r>
        <w:rPr>
          <w:rFonts w:ascii="Times New Roman" w:hAnsi="Times New Roman" w:cs="Times New Roman" w:eastAsiaTheme="minorEastAsia"/>
          <w:color w:val="auto"/>
          <w:sz w:val="24"/>
          <w:szCs w:val="24"/>
          <w:lang w:val="zh-TW"/>
        </w:rPr>
        <w:t>受</w:t>
      </w:r>
      <w:r>
        <w:rPr>
          <w:rFonts w:ascii="Times New Roman" w:hAnsi="Times New Roman" w:cs="Times New Roman" w:eastAsiaTheme="minorEastAsia"/>
          <w:color w:val="auto"/>
          <w:sz w:val="24"/>
          <w:szCs w:val="24"/>
          <w:lang w:val="zh-TW" w:eastAsia="zh-TW"/>
        </w:rPr>
        <w:t>益，以及潜在的不良事件，并在知情同意书上签署姓名和日期的受试者才可以参加本临床试验。试验过程中如果试验方案做出了一定程度的修改，需要依据修改后的内容对知情同意书做出相应的修改，并在通过伦理委员会审批后获得受试者重新签署的知情同意。</w:t>
      </w:r>
    </w:p>
    <w:p>
      <w:pPr>
        <w:pStyle w:val="3"/>
        <w:autoSpaceDE w:val="0"/>
        <w:autoSpaceDN w:val="0"/>
        <w:adjustRightInd w:val="0"/>
        <w:spacing w:line="240" w:lineRule="auto"/>
        <w:ind w:left="0" w:firstLine="480" w:firstLineChars="200"/>
        <w:contextualSpacing/>
        <w:rPr>
          <w:rFonts w:ascii="Times New Roman" w:hAnsi="Times New Roman" w:cs="Times New Roman" w:eastAsiaTheme="minorEastAsia"/>
          <w:color w:val="auto"/>
          <w:sz w:val="24"/>
          <w:szCs w:val="24"/>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rPr>
      </w:pPr>
      <w:bookmarkStart w:id="426" w:name="_Toc447822874"/>
      <w:bookmarkStart w:id="427" w:name="_Toc460500161"/>
      <w:bookmarkStart w:id="428" w:name="_Toc460952533"/>
      <w:bookmarkStart w:id="429" w:name="_Toc521584622"/>
      <w:bookmarkStart w:id="430" w:name="_Toc11781"/>
      <w:bookmarkStart w:id="431" w:name="_Toc19259"/>
      <w:r>
        <w:rPr>
          <w:rFonts w:hint="eastAsia" w:ascii="Times New Roman" w:hAnsi="Times New Roman" w:eastAsiaTheme="minorEastAsia"/>
          <w:color w:val="auto"/>
          <w:sz w:val="24"/>
          <w:szCs w:val="24"/>
          <w:lang w:val="en-US" w:eastAsia="zh-CN"/>
        </w:rPr>
        <w:t xml:space="preserve">13    </w:t>
      </w:r>
      <w:r>
        <w:rPr>
          <w:rFonts w:ascii="Times New Roman" w:hAnsi="Times New Roman" w:eastAsiaTheme="minorEastAsia"/>
          <w:color w:val="auto"/>
          <w:sz w:val="24"/>
          <w:szCs w:val="24"/>
          <w:lang w:val="zh-TW" w:eastAsia="zh-TW"/>
        </w:rPr>
        <w:t>研究报告</w:t>
      </w:r>
      <w:bookmarkEnd w:id="426"/>
      <w:bookmarkEnd w:id="427"/>
      <w:bookmarkEnd w:id="428"/>
      <w:bookmarkEnd w:id="429"/>
      <w:bookmarkEnd w:id="430"/>
      <w:bookmarkEnd w:id="431"/>
    </w:p>
    <w:p>
      <w:pPr>
        <w:adjustRightInd w:val="0"/>
        <w:snapToGrid w:val="0"/>
        <w:ind w:leftChars="200" w:hanging="240" w:hangingChars="100"/>
        <w:rPr>
          <w:rFonts w:eastAsiaTheme="minorEastAsia"/>
          <w:kern w:val="2"/>
          <w:u w:color="000000"/>
          <w:lang w:val="zh-TW" w:eastAsia="zh-TW"/>
        </w:rPr>
      </w:pPr>
      <w:r>
        <w:rPr>
          <w:rFonts w:hint="eastAsia" w:eastAsiaTheme="minorEastAsia"/>
          <w:kern w:val="2"/>
          <w:u w:color="000000"/>
          <w:lang w:eastAsia="zh-CN"/>
        </w:rPr>
        <w:t>按照《</w:t>
      </w:r>
      <w:r>
        <w:rPr>
          <w:rFonts w:hint="eastAsia" w:eastAsiaTheme="minorEastAsia"/>
          <w:kern w:val="2"/>
          <w:u w:color="000000"/>
          <w:lang w:val="zh-TW" w:eastAsia="zh-TW"/>
        </w:rPr>
        <w:t>化学药品仿制药口服固体制剂质量和疗效一致性评价申报资料要求（试</w:t>
      </w:r>
    </w:p>
    <w:p>
      <w:pPr>
        <w:adjustRightInd w:val="0"/>
        <w:snapToGrid w:val="0"/>
        <w:rPr>
          <w:rFonts w:eastAsiaTheme="minorEastAsia"/>
          <w:kern w:val="2"/>
          <w:u w:color="000000"/>
          <w:lang w:eastAsia="zh-CN"/>
        </w:rPr>
      </w:pPr>
      <w:r>
        <w:rPr>
          <w:rFonts w:hint="eastAsia" w:eastAsiaTheme="minorEastAsia"/>
          <w:kern w:val="2"/>
          <w:u w:color="000000"/>
          <w:lang w:val="zh-TW" w:eastAsia="zh-TW"/>
        </w:rPr>
        <w:t>行）</w:t>
      </w:r>
      <w:r>
        <w:rPr>
          <w:rFonts w:hint="eastAsia" w:eastAsiaTheme="minorEastAsia"/>
          <w:kern w:val="2"/>
          <w:u w:color="000000"/>
          <w:lang w:eastAsia="zh-CN"/>
        </w:rPr>
        <w:t>》编写研究报告及附件。</w:t>
      </w:r>
    </w:p>
    <w:p>
      <w:pPr>
        <w:adjustRightInd w:val="0"/>
        <w:snapToGrid w:val="0"/>
        <w:spacing w:line="240" w:lineRule="auto"/>
        <w:rPr>
          <w:rFonts w:eastAsiaTheme="minorEastAsia"/>
          <w:kern w:val="2"/>
          <w:u w:color="000000"/>
          <w:lang w:eastAsia="zh-CN"/>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rPr>
      </w:pPr>
      <w:bookmarkStart w:id="432" w:name="_Toc17836"/>
      <w:bookmarkStart w:id="433" w:name="_Toc460500162"/>
      <w:bookmarkStart w:id="434" w:name="_Toc447822875"/>
      <w:bookmarkStart w:id="435" w:name="_Toc460952534"/>
      <w:bookmarkStart w:id="436" w:name="_Toc1504"/>
      <w:bookmarkStart w:id="437" w:name="_Toc521584623"/>
      <w:r>
        <w:rPr>
          <w:rFonts w:hint="eastAsia" w:ascii="Times New Roman" w:hAnsi="Times New Roman" w:eastAsiaTheme="minorEastAsia"/>
          <w:color w:val="auto"/>
          <w:sz w:val="24"/>
          <w:szCs w:val="24"/>
          <w:lang w:val="en-US" w:eastAsia="zh-CN"/>
        </w:rPr>
        <w:t xml:space="preserve">14    </w:t>
      </w:r>
      <w:r>
        <w:rPr>
          <w:rFonts w:ascii="Times New Roman" w:hAnsi="Times New Roman" w:eastAsiaTheme="minorEastAsia"/>
          <w:color w:val="auto"/>
          <w:sz w:val="24"/>
          <w:szCs w:val="24"/>
          <w:lang w:val="zh-TW" w:eastAsia="zh-TW"/>
        </w:rPr>
        <w:t>资料的保存</w:t>
      </w:r>
      <w:bookmarkEnd w:id="432"/>
      <w:bookmarkEnd w:id="433"/>
      <w:bookmarkEnd w:id="434"/>
      <w:bookmarkEnd w:id="435"/>
      <w:bookmarkEnd w:id="436"/>
      <w:bookmarkEnd w:id="437"/>
    </w:p>
    <w:p>
      <w:pPr>
        <w:pStyle w:val="3"/>
        <w:autoSpaceDE w:val="0"/>
        <w:autoSpaceDN w:val="0"/>
        <w:adjustRightInd w:val="0"/>
        <w:ind w:left="0" w:firstLine="480" w:firstLineChars="200"/>
        <w:contextualSpacing/>
        <w:rPr>
          <w:rFonts w:ascii="Times New Roman" w:hAnsi="Times New Roman" w:cs="Times New Roman" w:eastAsiaTheme="minorEastAsia"/>
          <w:color w:val="auto"/>
          <w:sz w:val="24"/>
          <w:szCs w:val="24"/>
          <w:lang w:val="zh-TW" w:eastAsia="zh-TW"/>
        </w:rPr>
      </w:pPr>
      <w:r>
        <w:rPr>
          <w:rFonts w:ascii="Times New Roman" w:hAnsi="Times New Roman" w:cs="Times New Roman" w:eastAsiaTheme="minorEastAsia"/>
          <w:color w:val="auto"/>
          <w:sz w:val="24"/>
          <w:szCs w:val="24"/>
          <w:lang w:val="zh-TW" w:eastAsia="zh-TW"/>
        </w:rPr>
        <w:t>为保证国家</w:t>
      </w:r>
      <w:r>
        <w:rPr>
          <w:rFonts w:hint="eastAsia" w:ascii="Times New Roman" w:hAnsi="Times New Roman" w:cs="Times New Roman" w:eastAsiaTheme="minorEastAsia"/>
          <w:color w:val="auto"/>
          <w:sz w:val="24"/>
          <w:szCs w:val="24"/>
          <w:lang w:val="zh-TW"/>
        </w:rPr>
        <w:t>药品</w:t>
      </w:r>
      <w:r>
        <w:rPr>
          <w:rFonts w:ascii="Times New Roman" w:hAnsi="Times New Roman" w:cs="Times New Roman" w:eastAsiaTheme="minorEastAsia"/>
          <w:color w:val="auto"/>
          <w:sz w:val="24"/>
          <w:szCs w:val="24"/>
          <w:lang w:val="zh-TW" w:eastAsia="zh-TW"/>
        </w:rPr>
        <w:t>监督管理局和申办者对临床研究的评价与监督，研究者应同意保存所有研究资料，包括对受试者住院的原始记录、知情同意书、药品分发的详细记录等。</w:t>
      </w:r>
      <w:r>
        <w:rPr>
          <w:rFonts w:ascii="Times New Roman" w:hAnsi="Times New Roman" w:cs="Times New Roman" w:eastAsiaTheme="minorEastAsia"/>
          <w:color w:val="auto"/>
          <w:sz w:val="24"/>
          <w:szCs w:val="24"/>
          <w:shd w:val="clear" w:color="auto" w:fill="FFFFFF"/>
          <w:lang w:val="zh-TW" w:eastAsia="zh-TW"/>
        </w:rPr>
        <w:t>研究中心、样本检测实验室产生的纸质化和电子化文件资料均应妥善保存，保证能及时溯源。</w:t>
      </w:r>
      <w:r>
        <w:rPr>
          <w:rFonts w:ascii="Times New Roman" w:hAnsi="Times New Roman" w:cs="Times New Roman" w:eastAsiaTheme="minorEastAsia"/>
          <w:color w:val="auto"/>
          <w:sz w:val="24"/>
          <w:szCs w:val="24"/>
          <w:lang w:val="zh-TW" w:eastAsia="zh-TW"/>
        </w:rPr>
        <w:t>研究者应保存资料至本次临床试验结束后</w:t>
      </w:r>
      <w:r>
        <w:rPr>
          <w:rFonts w:ascii="Times New Roman" w:hAnsi="Times New Roman" w:cs="Times New Roman" w:eastAsiaTheme="minorEastAsia"/>
          <w:color w:val="auto"/>
          <w:sz w:val="24"/>
          <w:szCs w:val="24"/>
        </w:rPr>
        <w:t>5</w:t>
      </w:r>
      <w:r>
        <w:rPr>
          <w:rFonts w:ascii="Times New Roman" w:hAnsi="Times New Roman" w:cs="Times New Roman" w:eastAsiaTheme="minorEastAsia"/>
          <w:color w:val="auto"/>
          <w:sz w:val="24"/>
          <w:szCs w:val="24"/>
          <w:lang w:val="zh-TW" w:eastAsia="zh-TW"/>
        </w:rPr>
        <w:t>年</w:t>
      </w:r>
      <w:r>
        <w:rPr>
          <w:rFonts w:ascii="Times New Roman" w:hAnsi="Times New Roman" w:cs="Times New Roman" w:eastAsiaTheme="minorEastAsia"/>
          <w:color w:val="auto"/>
          <w:sz w:val="24"/>
          <w:szCs w:val="24"/>
          <w:lang w:val="zh-TW"/>
        </w:rPr>
        <w:t>或试验药物上市后2年</w:t>
      </w:r>
      <w:r>
        <w:rPr>
          <w:rFonts w:ascii="Times New Roman" w:hAnsi="Times New Roman" w:cs="Times New Roman" w:eastAsiaTheme="minorEastAsia"/>
          <w:color w:val="auto"/>
          <w:sz w:val="24"/>
          <w:szCs w:val="24"/>
          <w:lang w:val="zh-TW" w:eastAsia="zh-TW"/>
        </w:rPr>
        <w:t>。本临床研究的所有资料，所有权属于</w:t>
      </w:r>
      <w:r>
        <w:rPr>
          <w:rFonts w:ascii="Times New Roman" w:hAnsi="Times New Roman" w:cs="Times New Roman" w:eastAsiaTheme="minorEastAsia"/>
          <w:color w:val="auto"/>
          <w:sz w:val="24"/>
          <w:szCs w:val="24"/>
          <w:lang w:val="zh-TW" w:eastAsia="zh-TW"/>
        </w:rPr>
        <w:fldChar w:fldCharType="begin"/>
      </w:r>
      <w:r>
        <w:rPr>
          <w:rFonts w:ascii="Times New Roman" w:hAnsi="Times New Roman" w:cs="Times New Roman" w:eastAsiaTheme="minorEastAsia"/>
          <w:color w:val="auto"/>
          <w:sz w:val="24"/>
          <w:szCs w:val="24"/>
          <w:lang w:val="zh-TW" w:eastAsia="zh-TW"/>
        </w:rPr>
        <w:instrText xml:space="preserve"> MERGEFIELD T申办方 </w:instrText>
      </w:r>
      <w:r>
        <w:rPr>
          <w:rFonts w:ascii="Times New Roman" w:hAnsi="Times New Roman" w:cs="Times New Roman" w:eastAsiaTheme="minorEastAsia"/>
          <w:color w:val="auto"/>
          <w:sz w:val="24"/>
          <w:szCs w:val="24"/>
          <w:lang w:val="zh-TW" w:eastAsia="zh-TW"/>
        </w:rPr>
        <w:fldChar w:fldCharType="separate"/>
      </w:r>
      <w:r>
        <w:rPr>
          <w:rFonts w:hint="eastAsia" w:ascii="Times New Roman" w:hAnsi="Times New Roman" w:cs="Times New Roman" w:eastAsiaTheme="minorEastAsia"/>
          <w:sz w:val="24"/>
          <w:szCs w:val="24"/>
          <w:lang w:val="zh-TW" w:eastAsia="zh-CN"/>
        </w:rPr>
        <w:t>XXXXXX</w:t>
      </w:r>
      <w:r>
        <w:rPr>
          <w:rFonts w:ascii="Times New Roman" w:hAnsi="Times New Roman" w:cs="Times New Roman" w:eastAsiaTheme="minorEastAsia"/>
          <w:color w:val="auto"/>
          <w:sz w:val="24"/>
          <w:szCs w:val="24"/>
          <w:lang w:val="zh-TW" w:eastAsia="zh-TW"/>
        </w:rPr>
        <w:fldChar w:fldCharType="end"/>
      </w:r>
      <w:r>
        <w:rPr>
          <w:rFonts w:ascii="Times New Roman" w:hAnsi="Times New Roman" w:cs="Times New Roman" w:eastAsiaTheme="minorEastAsia"/>
          <w:color w:val="auto"/>
          <w:sz w:val="24"/>
          <w:szCs w:val="24"/>
          <w:lang w:val="zh-TW" w:eastAsia="zh-TW"/>
        </w:rPr>
        <w:t>。如果研究者选择将试验文件提供给另一方或转移至其他地方，必须通知申办方。除国家</w:t>
      </w:r>
      <w:r>
        <w:rPr>
          <w:rFonts w:hint="eastAsia" w:ascii="Times New Roman" w:hAnsi="Times New Roman" w:cs="Times New Roman" w:eastAsiaTheme="minorEastAsia"/>
          <w:color w:val="auto"/>
          <w:sz w:val="24"/>
          <w:szCs w:val="24"/>
          <w:lang w:val="zh-TW"/>
        </w:rPr>
        <w:t>药品</w:t>
      </w:r>
      <w:r>
        <w:rPr>
          <w:rFonts w:ascii="Times New Roman" w:hAnsi="Times New Roman" w:cs="Times New Roman" w:eastAsiaTheme="minorEastAsia"/>
          <w:color w:val="auto"/>
          <w:sz w:val="24"/>
          <w:szCs w:val="24"/>
          <w:lang w:val="zh-TW" w:eastAsia="zh-TW"/>
        </w:rPr>
        <w:t>监督管理局要求外，未经申办者书面同意，研究者不得以任何形式提供给第三者。</w:t>
      </w:r>
      <w:bookmarkStart w:id="438" w:name="_Toc14990"/>
      <w:bookmarkStart w:id="439" w:name="_Toc460952535"/>
      <w:bookmarkStart w:id="440" w:name="_Toc460500164"/>
    </w:p>
    <w:p>
      <w:pPr>
        <w:pStyle w:val="3"/>
        <w:autoSpaceDE w:val="0"/>
        <w:autoSpaceDN w:val="0"/>
        <w:adjustRightInd w:val="0"/>
        <w:spacing w:line="240" w:lineRule="auto"/>
        <w:ind w:left="0" w:firstLine="480" w:firstLineChars="200"/>
        <w:contextualSpacing/>
        <w:rPr>
          <w:rFonts w:ascii="Times New Roman" w:hAnsi="Times New Roman" w:cs="Times New Roman" w:eastAsiaTheme="minorEastAsia"/>
          <w:color w:val="auto"/>
          <w:sz w:val="24"/>
          <w:szCs w:val="24"/>
          <w:lang w:val="zh-TW" w:eastAsia="zh-TW"/>
        </w:rPr>
      </w:pPr>
    </w:p>
    <w:p>
      <w:pPr>
        <w:pStyle w:val="2"/>
        <w:keepNext w:val="0"/>
        <w:keepLines w:val="0"/>
        <w:numPr>
          <w:ilvl w:val="0"/>
          <w:numId w:val="0"/>
        </w:numPr>
        <w:autoSpaceDE w:val="0"/>
        <w:autoSpaceDN w:val="0"/>
        <w:adjustRightInd w:val="0"/>
        <w:spacing w:line="360" w:lineRule="auto"/>
        <w:ind w:leftChars="0"/>
        <w:contextualSpacing/>
        <w:rPr>
          <w:rFonts w:ascii="Times New Roman" w:hAnsi="Times New Roman" w:eastAsiaTheme="minorEastAsia"/>
          <w:color w:val="auto"/>
          <w:sz w:val="24"/>
          <w:szCs w:val="24"/>
          <w:lang w:val="zh-TW" w:eastAsia="zh-TW"/>
        </w:rPr>
      </w:pPr>
      <w:bookmarkStart w:id="441" w:name="_Toc521584624"/>
      <w:bookmarkStart w:id="442" w:name="_Toc23019"/>
      <w:r>
        <w:rPr>
          <w:rFonts w:hint="eastAsia" w:ascii="Times New Roman" w:hAnsi="Times New Roman" w:eastAsiaTheme="minorEastAsia"/>
          <w:color w:val="auto"/>
          <w:sz w:val="24"/>
          <w:szCs w:val="24"/>
          <w:lang w:val="en-US" w:eastAsia="zh-CN"/>
        </w:rPr>
        <w:t xml:space="preserve">15    </w:t>
      </w:r>
      <w:r>
        <w:rPr>
          <w:rFonts w:ascii="Times New Roman" w:hAnsi="Times New Roman" w:eastAsiaTheme="minorEastAsia"/>
          <w:color w:val="auto"/>
          <w:sz w:val="24"/>
          <w:szCs w:val="24"/>
          <w:lang w:val="zh-TW" w:eastAsia="zh-TW"/>
        </w:rPr>
        <w:t>参考文献</w:t>
      </w:r>
      <w:bookmarkEnd w:id="438"/>
      <w:bookmarkEnd w:id="439"/>
      <w:bookmarkEnd w:id="440"/>
      <w:bookmarkEnd w:id="441"/>
      <w:bookmarkEnd w:id="442"/>
      <w:bookmarkStart w:id="443" w:name="_Toc457702366"/>
      <w:bookmarkStart w:id="444" w:name="_Toc457699824"/>
      <w:bookmarkStart w:id="445" w:name="_Toc457702226"/>
      <w:bookmarkStart w:id="446" w:name="_Toc457692158"/>
      <w:bookmarkStart w:id="447" w:name="_Toc469056092"/>
      <w:bookmarkStart w:id="448" w:name="_Toc456620512"/>
      <w:bookmarkStart w:id="449" w:name="_Toc457699392"/>
    </w:p>
    <w:p>
      <w:pPr>
        <w:pStyle w:val="50"/>
        <w:numPr>
          <w:ilvl w:val="0"/>
          <w:numId w:val="38"/>
        </w:numPr>
        <w:spacing w:line="440" w:lineRule="exact"/>
        <w:ind w:left="0" w:firstLine="0"/>
        <w:contextualSpacing/>
        <w:jc w:val="left"/>
        <w:rPr>
          <w:rFonts w:eastAsiaTheme="minorEastAsia"/>
        </w:rPr>
      </w:pPr>
      <w:r>
        <w:rPr>
          <w:rFonts w:hint="eastAsia" w:eastAsiaTheme="minorEastAsia"/>
        </w:rPr>
        <w:t xml:space="preserve"> 研究者手册</w:t>
      </w:r>
    </w:p>
    <w:p>
      <w:pPr>
        <w:pStyle w:val="50"/>
        <w:numPr>
          <w:ilvl w:val="0"/>
          <w:numId w:val="38"/>
        </w:numPr>
        <w:spacing w:line="440" w:lineRule="exact"/>
        <w:ind w:left="0" w:firstLine="0"/>
        <w:contextualSpacing/>
        <w:jc w:val="left"/>
        <w:rPr>
          <w:rFonts w:eastAsiaTheme="minorEastAsia"/>
          <w:color w:val="auto"/>
        </w:rPr>
      </w:pPr>
      <w:r>
        <w:rPr>
          <w:rFonts w:eastAsiaTheme="minorEastAsia"/>
          <w:color w:val="auto"/>
        </w:rPr>
        <w:t xml:space="preserve"> </w:t>
      </w:r>
      <w:r>
        <w:rPr>
          <w:rFonts w:hint="eastAsia" w:eastAsiaTheme="minorEastAsia"/>
          <w:color w:val="auto"/>
        </w:rPr>
        <w:t>乙胺丁醇日本原研</w:t>
      </w:r>
      <w:r>
        <w:rPr>
          <w:rFonts w:eastAsiaTheme="minorEastAsia"/>
          <w:color w:val="auto"/>
        </w:rPr>
        <w:t>说明书</w:t>
      </w:r>
    </w:p>
    <w:p>
      <w:pPr>
        <w:pStyle w:val="50"/>
        <w:numPr>
          <w:ilvl w:val="0"/>
          <w:numId w:val="38"/>
        </w:numPr>
        <w:spacing w:line="440" w:lineRule="exact"/>
        <w:ind w:left="0" w:firstLine="0"/>
        <w:contextualSpacing/>
        <w:jc w:val="left"/>
        <w:rPr>
          <w:rFonts w:eastAsiaTheme="minorEastAsia"/>
        </w:rPr>
      </w:pPr>
      <w:r>
        <w:rPr>
          <w:rFonts w:hint="eastAsia" w:eastAsiaTheme="minorEastAsia"/>
        </w:rPr>
        <w:t>薛洪源等，</w:t>
      </w:r>
      <w:r>
        <w:rPr>
          <w:rFonts w:hint="eastAsia" w:eastAsiaTheme="minorEastAsia"/>
          <w:lang w:eastAsia="zh-CN"/>
        </w:rPr>
        <w:t>XXXXXX</w:t>
      </w:r>
      <w:r>
        <w:rPr>
          <w:rFonts w:hint="eastAsia" w:eastAsiaTheme="minorEastAsia"/>
        </w:rPr>
        <w:t>的人体相对生物利用度，中国临床药理学杂志，第20卷第5期2004年9月</w:t>
      </w:r>
    </w:p>
    <w:p>
      <w:pPr>
        <w:pStyle w:val="50"/>
        <w:numPr>
          <w:ilvl w:val="0"/>
          <w:numId w:val="38"/>
        </w:numPr>
        <w:spacing w:line="440" w:lineRule="exact"/>
        <w:ind w:left="0" w:leftChars="0" w:firstLine="0" w:firstLineChars="0"/>
        <w:contextualSpacing/>
        <w:jc w:val="left"/>
        <w:rPr>
          <w:rFonts w:eastAsiaTheme="minorEastAsia"/>
        </w:rPr>
      </w:pPr>
      <w:r>
        <w:rPr>
          <w:rFonts w:hint="eastAsia" w:eastAsia="宋体"/>
        </w:rPr>
        <w:t>FDA.</w:t>
      </w:r>
      <w:r>
        <w:rPr>
          <w:rFonts w:hint="eastAsia"/>
          <w:bCs/>
          <w:sz w:val="23"/>
        </w:rPr>
        <w:t xml:space="preserve">Guidance on Ethambutol Hydrochloride </w:t>
      </w:r>
      <w:r>
        <w:rPr>
          <w:rFonts w:eastAsiaTheme="minorEastAsia"/>
        </w:rPr>
        <w:t>.</w:t>
      </w:r>
    </w:p>
    <w:p>
      <w:pPr>
        <w:pStyle w:val="50"/>
        <w:spacing w:line="440" w:lineRule="exact"/>
        <w:ind w:left="0" w:firstLine="0"/>
        <w:contextualSpacing/>
        <w:jc w:val="left"/>
        <w:rPr>
          <w:rFonts w:eastAsiaTheme="minorEastAsia"/>
        </w:rPr>
      </w:pPr>
      <w:r>
        <w:rPr>
          <w:rFonts w:eastAsiaTheme="minorEastAsia"/>
        </w:rPr>
        <w:t>[</w:t>
      </w:r>
      <w:r>
        <w:rPr>
          <w:rFonts w:hint="eastAsia" w:eastAsiaTheme="minorEastAsia"/>
          <w:lang w:val="en-US" w:eastAsia="zh-CN"/>
        </w:rPr>
        <w:t>5</w:t>
      </w:r>
      <w:r>
        <w:rPr>
          <w:rFonts w:eastAsiaTheme="minorEastAsia"/>
        </w:rPr>
        <w:t>]</w:t>
      </w:r>
      <w:r>
        <w:rPr>
          <w:rFonts w:eastAsiaTheme="minorEastAsia"/>
        </w:rPr>
        <w:tab/>
      </w:r>
      <w:r>
        <w:rPr>
          <w:rFonts w:hint="eastAsia" w:eastAsiaTheme="minorEastAsia"/>
        </w:rPr>
        <w:t>国家食品药品监督管理总局</w:t>
      </w:r>
      <w:r>
        <w:rPr>
          <w:rFonts w:eastAsiaTheme="minorEastAsia"/>
        </w:rPr>
        <w:t xml:space="preserve">. </w:t>
      </w:r>
      <w:r>
        <w:rPr>
          <w:rFonts w:hint="eastAsia" w:eastAsiaTheme="minorEastAsia"/>
        </w:rPr>
        <w:t>化学药物制剂人体生物利用度和生物等效性研究技术指导原则</w:t>
      </w:r>
      <w:r>
        <w:rPr>
          <w:rFonts w:eastAsiaTheme="minorEastAsia"/>
        </w:rPr>
        <w:t>. 2005.</w:t>
      </w:r>
    </w:p>
    <w:p>
      <w:pPr>
        <w:pStyle w:val="50"/>
        <w:spacing w:line="440" w:lineRule="exact"/>
        <w:ind w:left="0" w:firstLine="0"/>
        <w:contextualSpacing/>
        <w:jc w:val="left"/>
        <w:rPr>
          <w:rFonts w:eastAsiaTheme="minorEastAsia"/>
        </w:rPr>
      </w:pPr>
      <w:r>
        <w:rPr>
          <w:rFonts w:eastAsiaTheme="minorEastAsia"/>
        </w:rPr>
        <w:t>[</w:t>
      </w:r>
      <w:r>
        <w:rPr>
          <w:rFonts w:hint="eastAsia" w:eastAsiaTheme="minorEastAsia"/>
          <w:lang w:val="en-US" w:eastAsia="zh-CN"/>
        </w:rPr>
        <w:t>6</w:t>
      </w:r>
      <w:r>
        <w:rPr>
          <w:rFonts w:eastAsiaTheme="minorEastAsia"/>
        </w:rPr>
        <w:t>]</w:t>
      </w:r>
      <w:r>
        <w:rPr>
          <w:rFonts w:eastAsiaTheme="minorEastAsia"/>
        </w:rPr>
        <w:tab/>
      </w:r>
      <w:r>
        <w:rPr>
          <w:rFonts w:hint="eastAsia" w:eastAsiaTheme="minorEastAsia"/>
        </w:rPr>
        <w:t>国家食品药品监督管理总局</w:t>
      </w:r>
      <w:r>
        <w:rPr>
          <w:rFonts w:eastAsiaTheme="minorEastAsia"/>
        </w:rPr>
        <w:t xml:space="preserve">. </w:t>
      </w:r>
      <w:r>
        <w:rPr>
          <w:rFonts w:hint="eastAsia" w:eastAsiaTheme="minorEastAsia"/>
        </w:rPr>
        <w:t>以药动学参数为终点评价指标的化学药物仿制药人体生物等效性研究技术指导原则</w:t>
      </w:r>
      <w:r>
        <w:rPr>
          <w:rFonts w:eastAsiaTheme="minorEastAsia"/>
        </w:rPr>
        <w:t>. 2016.</w:t>
      </w:r>
    </w:p>
    <w:p>
      <w:pPr>
        <w:pStyle w:val="50"/>
        <w:spacing w:line="440" w:lineRule="exact"/>
        <w:ind w:left="0" w:firstLine="0"/>
        <w:contextualSpacing/>
        <w:jc w:val="left"/>
        <w:rPr>
          <w:rFonts w:eastAsiaTheme="minorEastAsia"/>
        </w:rPr>
      </w:pPr>
      <w:r>
        <w:rPr>
          <w:rFonts w:eastAsiaTheme="minorEastAsia"/>
        </w:rPr>
        <w:t>[</w:t>
      </w:r>
      <w:r>
        <w:rPr>
          <w:rFonts w:hint="eastAsia" w:eastAsiaTheme="minorEastAsia"/>
          <w:lang w:val="en-US" w:eastAsia="zh-CN"/>
        </w:rPr>
        <w:t>7</w:t>
      </w:r>
      <w:r>
        <w:rPr>
          <w:rFonts w:eastAsiaTheme="minorEastAsia"/>
        </w:rPr>
        <w:t>]</w:t>
      </w:r>
      <w:r>
        <w:rPr>
          <w:rFonts w:eastAsiaTheme="minorEastAsia"/>
        </w:rPr>
        <w:tab/>
      </w:r>
      <w:r>
        <w:rPr>
          <w:rFonts w:hint="eastAsia" w:eastAsiaTheme="minorEastAsia"/>
        </w:rPr>
        <w:t>国家食品药品监督管理总局</w:t>
      </w:r>
      <w:r>
        <w:rPr>
          <w:rFonts w:eastAsiaTheme="minorEastAsia"/>
        </w:rPr>
        <w:t xml:space="preserve">. </w:t>
      </w:r>
      <w:r>
        <w:rPr>
          <w:rFonts w:hint="eastAsia" w:eastAsiaTheme="minorEastAsia"/>
        </w:rPr>
        <w:t>药物临床试验的生物统计学指导原则</w:t>
      </w:r>
      <w:r>
        <w:rPr>
          <w:rFonts w:eastAsiaTheme="minorEastAsia"/>
        </w:rPr>
        <w:t>. 2016.</w:t>
      </w:r>
    </w:p>
    <w:p>
      <w:pPr>
        <w:pStyle w:val="50"/>
        <w:spacing w:line="440" w:lineRule="exact"/>
        <w:ind w:left="0" w:firstLine="0"/>
        <w:contextualSpacing/>
        <w:jc w:val="left"/>
        <w:rPr>
          <w:rFonts w:eastAsiaTheme="minorEastAsia"/>
        </w:rPr>
      </w:pPr>
      <w:r>
        <w:rPr>
          <w:rFonts w:eastAsiaTheme="minorEastAsia"/>
        </w:rPr>
        <w:t>[</w:t>
      </w:r>
      <w:r>
        <w:rPr>
          <w:rFonts w:hint="eastAsia" w:eastAsiaTheme="minorEastAsia"/>
          <w:lang w:val="en-US" w:eastAsia="zh-CN"/>
        </w:rPr>
        <w:t>8</w:t>
      </w:r>
      <w:r>
        <w:rPr>
          <w:rFonts w:eastAsiaTheme="minorEastAsia"/>
        </w:rPr>
        <w:t>]</w:t>
      </w:r>
      <w:r>
        <w:rPr>
          <w:rFonts w:eastAsiaTheme="minorEastAsia"/>
        </w:rPr>
        <w:tab/>
      </w:r>
      <w:r>
        <w:rPr>
          <w:rFonts w:hint="eastAsia" w:eastAsiaTheme="minorEastAsia"/>
          <w:bCs/>
        </w:rPr>
        <w:t>国家药品监督管理局《生物等效性研究的统计学指导原则》，2018</w:t>
      </w:r>
      <w:r>
        <w:rPr>
          <w:rFonts w:eastAsiaTheme="minorEastAsia"/>
        </w:rPr>
        <w:t>.</w:t>
      </w:r>
    </w:p>
    <w:p>
      <w:pPr>
        <w:pStyle w:val="50"/>
        <w:numPr>
          <w:ilvl w:val="0"/>
          <w:numId w:val="0"/>
        </w:numPr>
        <w:spacing w:line="440" w:lineRule="exact"/>
        <w:ind w:leftChars="0"/>
        <w:contextualSpacing/>
        <w:jc w:val="left"/>
        <w:rPr>
          <w:rFonts w:eastAsiaTheme="minorEastAsia"/>
        </w:rPr>
      </w:pPr>
    </w:p>
    <w:bookmarkEnd w:id="443"/>
    <w:bookmarkEnd w:id="444"/>
    <w:bookmarkEnd w:id="445"/>
    <w:bookmarkEnd w:id="446"/>
    <w:bookmarkEnd w:id="447"/>
    <w:bookmarkEnd w:id="448"/>
    <w:bookmarkEnd w:id="449"/>
    <w:p>
      <w:pPr>
        <w:pStyle w:val="2"/>
        <w:keepNext w:val="0"/>
        <w:keepLines w:val="0"/>
        <w:autoSpaceDE w:val="0"/>
        <w:autoSpaceDN w:val="0"/>
        <w:adjustRightInd w:val="0"/>
        <w:spacing w:line="360" w:lineRule="auto"/>
        <w:ind w:left="0" w:firstLine="0"/>
        <w:contextualSpacing/>
        <w:rPr>
          <w:rFonts w:ascii="Times New Roman" w:hAnsi="Times New Roman" w:eastAsiaTheme="minorEastAsia"/>
          <w:color w:val="auto"/>
          <w:sz w:val="24"/>
          <w:szCs w:val="24"/>
          <w:lang w:val="zh-TW" w:eastAsia="zh-TW"/>
        </w:rPr>
      </w:pPr>
      <w:r>
        <w:rPr>
          <w:rFonts w:ascii="Times New Roman" w:hAnsi="Times New Roman" w:eastAsiaTheme="minorEastAsia"/>
          <w:lang w:val="zh-TW" w:eastAsia="zh-TW"/>
        </w:rPr>
        <w:br w:type="page"/>
      </w:r>
      <w:bookmarkStart w:id="450" w:name="_Toc446058204"/>
      <w:bookmarkStart w:id="451" w:name="_Toc447001490"/>
      <w:bookmarkStart w:id="452" w:name="_Toc521584625"/>
      <w:bookmarkStart w:id="453" w:name="_Toc460952537"/>
      <w:bookmarkStart w:id="454" w:name="_Toc449282054"/>
      <w:bookmarkStart w:id="455" w:name="_Toc449165134"/>
      <w:bookmarkStart w:id="456" w:name="_Toc29862"/>
      <w:r>
        <w:rPr>
          <w:rFonts w:ascii="Times New Roman" w:hAnsi="Times New Roman" w:eastAsiaTheme="minorEastAsia"/>
          <w:color w:val="auto"/>
          <w:sz w:val="24"/>
          <w:szCs w:val="24"/>
          <w:lang w:val="zh-TW" w:eastAsia="zh-TW"/>
        </w:rPr>
        <w:t>附录</w:t>
      </w:r>
      <w:r>
        <w:rPr>
          <w:rFonts w:ascii="Times New Roman" w:hAnsi="Times New Roman" w:eastAsiaTheme="minorEastAsia"/>
          <w:color w:val="auto"/>
          <w:sz w:val="24"/>
          <w:szCs w:val="24"/>
          <w:lang w:eastAsia="zh-CN"/>
        </w:rPr>
        <w:t>1</w:t>
      </w:r>
      <w:r>
        <w:rPr>
          <w:rFonts w:ascii="Times New Roman" w:hAnsi="Times New Roman" w:eastAsiaTheme="minorEastAsia"/>
          <w:color w:val="auto"/>
          <w:sz w:val="24"/>
          <w:szCs w:val="24"/>
          <w:lang w:val="zh-TW" w:eastAsia="zh-TW"/>
        </w:rPr>
        <w:t>：临床实验室检查</w:t>
      </w:r>
      <w:bookmarkEnd w:id="450"/>
      <w:bookmarkEnd w:id="451"/>
      <w:bookmarkEnd w:id="452"/>
      <w:bookmarkEnd w:id="453"/>
      <w:bookmarkEnd w:id="454"/>
      <w:bookmarkEnd w:id="455"/>
      <w:bookmarkEnd w:id="456"/>
    </w:p>
    <w:tbl>
      <w:tblPr>
        <w:tblStyle w:val="27"/>
        <w:tblW w:w="9179"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42"/>
        <w:gridCol w:w="4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53" w:hRule="atLeast"/>
          <w:jc w:val="center"/>
        </w:trPr>
        <w:tc>
          <w:tcPr>
            <w:tcW w:w="5042" w:type="dxa"/>
            <w:vMerge w:val="restart"/>
            <w:tcBorders>
              <w:top w:val="single" w:color="000000" w:sz="4" w:space="0"/>
              <w:left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20"/>
                <w:u w:val="single"/>
              </w:rPr>
            </w:pPr>
            <w:r>
              <w:rPr>
                <w:rFonts w:hint="default" w:ascii="Times New Roman" w:hAnsi="Times New Roman" w:cs="Times New Roman" w:eastAsiaTheme="minorEastAsia"/>
                <w:b/>
                <w:bCs/>
                <w:color w:val="auto"/>
                <w:sz w:val="18"/>
                <w:szCs w:val="20"/>
                <w:lang w:val="zh-TW"/>
              </w:rPr>
              <w:t>血</w:t>
            </w:r>
            <w:r>
              <w:rPr>
                <w:rFonts w:hint="default" w:ascii="Times New Roman" w:hAnsi="Times New Roman" w:cs="Times New Roman" w:eastAsiaTheme="minorEastAsia"/>
                <w:b/>
                <w:bCs/>
                <w:color w:val="auto"/>
                <w:sz w:val="18"/>
                <w:szCs w:val="20"/>
                <w:lang w:val="zh-TW" w:eastAsia="zh-TW"/>
              </w:rPr>
              <w:t>生化</w:t>
            </w:r>
          </w:p>
          <w:p>
            <w:pPr>
              <w:pStyle w:val="102"/>
              <w:autoSpaceDE w:val="0"/>
              <w:autoSpaceDN w:val="0"/>
              <w:adjustRightInd w:val="0"/>
              <w:ind w:left="0" w:firstLine="0"/>
              <w:contextualSpacing/>
              <w:rPr>
                <w:rFonts w:hint="default" w:ascii="Times New Roman" w:hAnsi="Times New Roman" w:cs="Times New Roman" w:eastAsiaTheme="minorEastAsia"/>
                <w:i/>
                <w:iCs/>
                <w:color w:val="auto"/>
                <w:sz w:val="18"/>
                <w:szCs w:val="18"/>
              </w:rPr>
            </w:pPr>
            <w:r>
              <w:rPr>
                <w:rFonts w:hint="default" w:ascii="Times New Roman" w:hAnsi="Times New Roman" w:cs="Times New Roman" w:eastAsiaTheme="minorEastAsia"/>
                <w:i/>
                <w:iCs/>
                <w:color w:val="auto"/>
                <w:sz w:val="18"/>
                <w:szCs w:val="18"/>
                <w:lang w:val="zh-TW" w:eastAsia="zh-TW"/>
              </w:rPr>
              <w:t>（在筛查、出组离开前检查下列各项）</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直接胆红素（DB）</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总胆红素（TB）</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尿素（</w:t>
            </w:r>
            <w:r>
              <w:rPr>
                <w:rFonts w:ascii="Times New Roman" w:hAnsi="Times New Roman" w:cs="Times New Roman" w:eastAsiaTheme="minorEastAsia"/>
                <w:color w:val="auto"/>
                <w:sz w:val="18"/>
                <w:szCs w:val="18"/>
                <w:lang w:eastAsia="zh-TW"/>
              </w:rPr>
              <w:t>Urea</w:t>
            </w:r>
            <w:r>
              <w:rPr>
                <w:rFonts w:hint="default" w:ascii="Times New Roman" w:hAnsi="Times New Roman" w:cs="Times New Roman" w:eastAsiaTheme="minorEastAsia"/>
                <w:color w:val="auto"/>
                <w:sz w:val="18"/>
                <w:szCs w:val="18"/>
                <w:lang w:val="zh-TW" w:eastAsia="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肌酐（C</w:t>
            </w:r>
            <w:r>
              <w:rPr>
                <w:rFonts w:ascii="Times New Roman" w:hAnsi="Times New Roman" w:cs="Times New Roman" w:eastAsiaTheme="minorEastAsia"/>
                <w:color w:val="auto"/>
                <w:sz w:val="18"/>
                <w:szCs w:val="18"/>
                <w:lang w:eastAsia="zh-TW"/>
              </w:rPr>
              <w:t>RE</w:t>
            </w:r>
            <w:r>
              <w:rPr>
                <w:rFonts w:hint="default" w:ascii="Times New Roman" w:hAnsi="Times New Roman" w:cs="Times New Roman" w:eastAsiaTheme="minorEastAsia"/>
                <w:color w:val="auto"/>
                <w:sz w:val="18"/>
                <w:szCs w:val="18"/>
                <w:lang w:val="zh-TW" w:eastAsia="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rPr>
              <w:t>谷草转氨酶</w:t>
            </w:r>
            <w:r>
              <w:rPr>
                <w:rFonts w:hint="default" w:ascii="Times New Roman" w:hAnsi="Times New Roman" w:cs="Times New Roman" w:eastAsiaTheme="minorEastAsia"/>
                <w:color w:val="auto"/>
                <w:sz w:val="18"/>
                <w:szCs w:val="18"/>
                <w:lang w:val="zh-TW" w:eastAsia="zh-TW"/>
              </w:rPr>
              <w:t>（AST）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rPr>
              <w:t>谷丙转氨酶</w:t>
            </w:r>
            <w:r>
              <w:rPr>
                <w:rFonts w:hint="default" w:ascii="Times New Roman" w:hAnsi="Times New Roman" w:cs="Times New Roman" w:eastAsiaTheme="minorEastAsia"/>
                <w:color w:val="auto"/>
                <w:sz w:val="18"/>
                <w:szCs w:val="18"/>
                <w:lang w:val="zh-TW" w:eastAsia="zh-TW"/>
              </w:rPr>
              <w:t>（ALT）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总蛋白（TP）</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白蛋白（ALB）</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葡萄糖（GLU）</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甘油三酯（TG）</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总胆固醇（CH）</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eastAsia="zh-TW"/>
              </w:rPr>
            </w:pPr>
            <w:r>
              <w:rPr>
                <w:rFonts w:hint="default" w:ascii="Times New Roman" w:hAnsi="Times New Roman" w:cs="Times New Roman" w:eastAsiaTheme="minorEastAsia"/>
                <w:color w:val="auto"/>
                <w:sz w:val="18"/>
                <w:szCs w:val="18"/>
                <w:lang w:val="zh-TW" w:eastAsia="zh-TW"/>
              </w:rPr>
              <w:t>钾（K</w:t>
            </w:r>
            <w:r>
              <w:rPr>
                <w:rFonts w:hint="default" w:ascii="Times New Roman" w:hAnsi="Times New Roman" w:cs="Times New Roman" w:eastAsiaTheme="minorEastAsia"/>
                <w:color w:val="auto"/>
                <w:sz w:val="18"/>
                <w:szCs w:val="18"/>
                <w:vertAlign w:val="superscript"/>
                <w:lang w:val="zh-TW" w:eastAsia="zh-TW"/>
              </w:rPr>
              <w:t>+</w:t>
            </w:r>
            <w:r>
              <w:rPr>
                <w:rFonts w:hint="default" w:ascii="Times New Roman" w:hAnsi="Times New Roman" w:cs="Times New Roman" w:eastAsiaTheme="minorEastAsia"/>
                <w:color w:val="auto"/>
                <w:sz w:val="18"/>
                <w:szCs w:val="18"/>
                <w:lang w:val="zh-TW" w:eastAsia="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lang w:val="zh-TW"/>
              </w:rPr>
            </w:pPr>
            <w:r>
              <w:rPr>
                <w:rFonts w:hint="default" w:ascii="Times New Roman" w:hAnsi="Times New Roman" w:cs="Times New Roman" w:eastAsiaTheme="minorEastAsia"/>
                <w:color w:val="auto"/>
                <w:sz w:val="18"/>
                <w:szCs w:val="18"/>
                <w:lang w:val="zh-TW" w:eastAsia="zh-TW"/>
              </w:rPr>
              <w:t>钠（Na</w:t>
            </w:r>
            <w:r>
              <w:rPr>
                <w:rFonts w:hint="default" w:ascii="Times New Roman" w:hAnsi="Times New Roman" w:cs="Times New Roman" w:eastAsiaTheme="minorEastAsia"/>
                <w:color w:val="auto"/>
                <w:sz w:val="18"/>
                <w:szCs w:val="18"/>
                <w:vertAlign w:val="superscript"/>
                <w:lang w:val="zh-TW" w:eastAsia="zh-TW"/>
              </w:rPr>
              <w:t>+</w:t>
            </w:r>
            <w:r>
              <w:rPr>
                <w:rFonts w:hint="default" w:ascii="Times New Roman" w:hAnsi="Times New Roman" w:cs="Times New Roman" w:eastAsiaTheme="minorEastAsia"/>
                <w:color w:val="auto"/>
                <w:sz w:val="18"/>
                <w:szCs w:val="18"/>
                <w:lang w:val="zh-TW" w:eastAsia="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rPr>
            </w:pPr>
            <w:r>
              <w:rPr>
                <w:rFonts w:hint="default" w:ascii="Times New Roman" w:hAnsi="Times New Roman" w:cs="Times New Roman" w:eastAsiaTheme="minorEastAsia"/>
                <w:color w:val="auto"/>
                <w:sz w:val="18"/>
                <w:szCs w:val="18"/>
                <w:lang w:val="zh-TW" w:eastAsia="zh-TW"/>
              </w:rPr>
              <w:t>尿酸（UA）</w:t>
            </w:r>
          </w:p>
        </w:tc>
        <w:tc>
          <w:tcPr>
            <w:tcW w:w="4137" w:type="dxa"/>
            <w:tcBorders>
              <w:top w:val="single" w:color="000000" w:sz="4" w:space="0"/>
              <w:left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20"/>
              </w:rPr>
            </w:pPr>
            <w:r>
              <w:rPr>
                <w:rFonts w:hint="default" w:ascii="Times New Roman" w:hAnsi="Times New Roman" w:cs="Times New Roman" w:eastAsiaTheme="minorEastAsia"/>
                <w:b/>
                <w:bCs/>
                <w:color w:val="auto"/>
                <w:sz w:val="18"/>
                <w:szCs w:val="20"/>
                <w:lang w:val="zh-TW" w:eastAsia="zh-TW"/>
              </w:rPr>
              <w:t>血常规</w:t>
            </w:r>
          </w:p>
          <w:p>
            <w:pPr>
              <w:widowControl w:val="0"/>
              <w:autoSpaceDE w:val="0"/>
              <w:autoSpaceDN w:val="0"/>
              <w:adjustRightInd w:val="0"/>
              <w:ind w:left="0" w:firstLine="0"/>
              <w:contextualSpacing/>
              <w:rPr>
                <w:rFonts w:eastAsiaTheme="minorEastAsia"/>
                <w:i/>
                <w:iCs/>
                <w:kern w:val="2"/>
                <w:sz w:val="18"/>
                <w:szCs w:val="18"/>
                <w:u w:color="000000"/>
                <w:lang w:eastAsia="zh-CN"/>
              </w:rPr>
            </w:pPr>
            <w:r>
              <w:rPr>
                <w:rFonts w:eastAsiaTheme="minorEastAsia"/>
                <w:i/>
                <w:iCs/>
                <w:kern w:val="2"/>
                <w:sz w:val="18"/>
                <w:szCs w:val="18"/>
                <w:u w:color="000000"/>
                <w:lang w:val="zh-TW" w:eastAsia="zh-TW"/>
              </w:rPr>
              <w:t>（在筛查</w:t>
            </w:r>
            <w:r>
              <w:rPr>
                <w:rFonts w:eastAsiaTheme="minorEastAsia"/>
                <w:i/>
                <w:iCs/>
                <w:sz w:val="18"/>
                <w:szCs w:val="18"/>
                <w:lang w:val="zh-TW" w:eastAsia="zh-CN"/>
              </w:rPr>
              <w:t>、</w:t>
            </w:r>
            <w:r>
              <w:rPr>
                <w:rFonts w:eastAsiaTheme="minorEastAsia"/>
                <w:i/>
                <w:iCs/>
                <w:kern w:val="2"/>
                <w:sz w:val="18"/>
                <w:szCs w:val="18"/>
                <w:u w:color="000000"/>
                <w:lang w:val="zh-TW" w:eastAsia="zh-TW"/>
              </w:rPr>
              <w:t>出组离开前检查下列各项）</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白细胞计数（WBC）</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红细胞计数（RBC）</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中性</w:t>
            </w:r>
            <w:r>
              <w:rPr>
                <w:rFonts w:ascii="Times New Roman" w:hAnsi="Times New Roman" w:cs="Times New Roman" w:eastAsiaTheme="minorEastAsia"/>
                <w:color w:val="auto"/>
                <w:sz w:val="18"/>
                <w:szCs w:val="16"/>
                <w:lang w:val="zh-TW"/>
              </w:rPr>
              <w:t>片</w:t>
            </w:r>
            <w:r>
              <w:rPr>
                <w:rFonts w:hint="default" w:ascii="Times New Roman" w:hAnsi="Times New Roman" w:cs="Times New Roman" w:eastAsiaTheme="minorEastAsia"/>
                <w:color w:val="auto"/>
                <w:sz w:val="18"/>
                <w:szCs w:val="16"/>
                <w:lang w:val="zh-TW"/>
              </w:rPr>
              <w:t>细胞绝对值（NE</w:t>
            </w:r>
            <w:r>
              <w:rPr>
                <w:rFonts w:ascii="Times New Roman" w:hAnsi="Times New Roman" w:cs="Times New Roman" w:eastAsiaTheme="minorEastAsia"/>
                <w:color w:val="auto"/>
                <w:sz w:val="18"/>
                <w:szCs w:val="16"/>
              </w:rPr>
              <w:t>UT</w:t>
            </w:r>
            <w:r>
              <w:rPr>
                <w:rFonts w:hint="default" w:ascii="Times New Roman" w:hAnsi="Times New Roman" w:cs="Times New Roman" w:eastAsiaTheme="minorEastAsia"/>
                <w:color w:val="auto"/>
                <w:sz w:val="18"/>
                <w:szCs w:val="16"/>
                <w:lang w:val="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淋巴细胞绝对值（LYMPH）</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单核细胞绝对值（MO</w:t>
            </w:r>
            <w:r>
              <w:rPr>
                <w:rFonts w:ascii="Times New Roman" w:hAnsi="Times New Roman" w:cs="Times New Roman" w:eastAsiaTheme="minorEastAsia"/>
                <w:color w:val="auto"/>
                <w:sz w:val="18"/>
                <w:szCs w:val="16"/>
              </w:rPr>
              <w:t>NO</w:t>
            </w:r>
            <w:r>
              <w:rPr>
                <w:rFonts w:hint="default" w:ascii="Times New Roman" w:hAnsi="Times New Roman" w:cs="Times New Roman" w:eastAsiaTheme="minorEastAsia"/>
                <w:color w:val="auto"/>
                <w:sz w:val="18"/>
                <w:szCs w:val="16"/>
                <w:lang w:val="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嗜酸性</w:t>
            </w:r>
            <w:r>
              <w:rPr>
                <w:rFonts w:ascii="Times New Roman" w:hAnsi="Times New Roman" w:cs="Times New Roman" w:eastAsiaTheme="minorEastAsia"/>
                <w:color w:val="auto"/>
                <w:sz w:val="18"/>
                <w:szCs w:val="16"/>
                <w:lang w:val="zh-TW"/>
              </w:rPr>
              <w:t>片</w:t>
            </w:r>
            <w:r>
              <w:rPr>
                <w:rFonts w:hint="default" w:ascii="Times New Roman" w:hAnsi="Times New Roman" w:cs="Times New Roman" w:eastAsiaTheme="minorEastAsia"/>
                <w:color w:val="auto"/>
                <w:sz w:val="18"/>
                <w:szCs w:val="16"/>
                <w:lang w:val="zh-TW"/>
              </w:rPr>
              <w:t>细胞绝对值（EO）</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嗜碱性</w:t>
            </w:r>
            <w:r>
              <w:rPr>
                <w:rFonts w:ascii="Times New Roman" w:hAnsi="Times New Roman" w:cs="Times New Roman" w:eastAsiaTheme="minorEastAsia"/>
                <w:color w:val="auto"/>
                <w:sz w:val="18"/>
                <w:szCs w:val="16"/>
                <w:lang w:val="zh-TW"/>
              </w:rPr>
              <w:t>片</w:t>
            </w:r>
            <w:r>
              <w:rPr>
                <w:rFonts w:hint="default" w:ascii="Times New Roman" w:hAnsi="Times New Roman" w:cs="Times New Roman" w:eastAsiaTheme="minorEastAsia"/>
                <w:color w:val="auto"/>
                <w:sz w:val="18"/>
                <w:szCs w:val="16"/>
                <w:lang w:val="zh-TW"/>
              </w:rPr>
              <w:t>细胞绝对值（BA</w:t>
            </w:r>
            <w:r>
              <w:rPr>
                <w:rFonts w:ascii="Times New Roman" w:hAnsi="Times New Roman" w:cs="Times New Roman" w:eastAsiaTheme="minorEastAsia"/>
                <w:color w:val="auto"/>
                <w:sz w:val="18"/>
                <w:szCs w:val="16"/>
              </w:rPr>
              <w:t>SO</w:t>
            </w:r>
            <w:r>
              <w:rPr>
                <w:rFonts w:hint="default" w:ascii="Times New Roman" w:hAnsi="Times New Roman" w:cs="Times New Roman" w:eastAsiaTheme="minorEastAsia"/>
                <w:color w:val="auto"/>
                <w:sz w:val="18"/>
                <w:szCs w:val="16"/>
                <w:lang w:val="zh-TW"/>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6"/>
                <w:lang w:val="zh-TW"/>
              </w:rPr>
            </w:pPr>
            <w:r>
              <w:rPr>
                <w:rFonts w:hint="default" w:ascii="Times New Roman" w:hAnsi="Times New Roman" w:cs="Times New Roman" w:eastAsiaTheme="minorEastAsia"/>
                <w:color w:val="auto"/>
                <w:sz w:val="18"/>
                <w:szCs w:val="16"/>
                <w:lang w:val="zh-TW"/>
              </w:rPr>
              <w:t>血红蛋白（HGB）</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rPr>
            </w:pPr>
            <w:r>
              <w:rPr>
                <w:rFonts w:hint="default" w:ascii="Times New Roman" w:hAnsi="Times New Roman" w:cs="Times New Roman" w:eastAsiaTheme="minorEastAsia"/>
                <w:color w:val="auto"/>
                <w:sz w:val="18"/>
                <w:szCs w:val="16"/>
                <w:lang w:val="zh-TW"/>
              </w:rPr>
              <w:t>血小板计数（PLT）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37" w:hRule="atLeast"/>
          <w:jc w:val="center"/>
        </w:trPr>
        <w:tc>
          <w:tcPr>
            <w:tcW w:w="5042" w:type="dxa"/>
            <w:vMerge w:val="continue"/>
            <w:tcBorders>
              <w:left w:val="single" w:color="000000" w:sz="4" w:space="0"/>
              <w:bottom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20"/>
                <w:lang w:val="zh-TW" w:eastAsia="zh-TW"/>
              </w:rPr>
            </w:pPr>
          </w:p>
        </w:tc>
        <w:tc>
          <w:tcPr>
            <w:tcW w:w="4137" w:type="dxa"/>
            <w:vMerge w:val="restart"/>
            <w:tcBorders>
              <w:top w:val="single" w:color="auto" w:sz="4" w:space="0"/>
              <w:left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20"/>
              </w:rPr>
            </w:pPr>
            <w:r>
              <w:rPr>
                <w:rFonts w:hint="default" w:ascii="Times New Roman" w:hAnsi="Times New Roman" w:cs="Times New Roman" w:eastAsiaTheme="minorEastAsia"/>
                <w:b/>
                <w:bCs/>
                <w:color w:val="auto"/>
                <w:sz w:val="18"/>
                <w:szCs w:val="20"/>
                <w:lang w:val="zh-TW" w:eastAsia="zh-TW"/>
              </w:rPr>
              <w:t>尿常规</w:t>
            </w:r>
          </w:p>
          <w:p>
            <w:pPr>
              <w:widowControl w:val="0"/>
              <w:autoSpaceDE w:val="0"/>
              <w:autoSpaceDN w:val="0"/>
              <w:adjustRightInd w:val="0"/>
              <w:ind w:left="0" w:firstLine="0"/>
              <w:contextualSpacing/>
              <w:rPr>
                <w:rFonts w:eastAsiaTheme="minorEastAsia"/>
                <w:b/>
                <w:bCs/>
                <w:i/>
                <w:iCs/>
                <w:kern w:val="2"/>
                <w:sz w:val="18"/>
                <w:szCs w:val="18"/>
                <w:u w:color="000000"/>
                <w:lang w:eastAsia="zh-CN"/>
              </w:rPr>
            </w:pPr>
            <w:r>
              <w:rPr>
                <w:rFonts w:eastAsiaTheme="minorEastAsia"/>
                <w:i/>
                <w:iCs/>
                <w:kern w:val="2"/>
                <w:sz w:val="18"/>
                <w:szCs w:val="18"/>
                <w:u w:color="000000"/>
                <w:lang w:val="zh-TW" w:eastAsia="zh-TW"/>
              </w:rPr>
              <w:t>（在筛查</w:t>
            </w:r>
            <w:r>
              <w:rPr>
                <w:rFonts w:eastAsiaTheme="minorEastAsia"/>
                <w:i/>
                <w:iCs/>
                <w:sz w:val="18"/>
                <w:szCs w:val="18"/>
                <w:lang w:val="zh-TW" w:eastAsia="zh-CN"/>
              </w:rPr>
              <w:t>、</w:t>
            </w:r>
            <w:r>
              <w:rPr>
                <w:rFonts w:eastAsiaTheme="minorEastAsia"/>
                <w:i/>
                <w:iCs/>
                <w:kern w:val="2"/>
                <w:sz w:val="18"/>
                <w:szCs w:val="18"/>
                <w:u w:color="000000"/>
                <w:lang w:val="zh-TW" w:eastAsia="zh-TW"/>
              </w:rPr>
              <w:t>出组离开前检查下列各项）</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尿葡萄糖</w:t>
            </w:r>
            <w:r>
              <w:rPr>
                <w:rFonts w:hint="default" w:ascii="Times New Roman" w:hAnsi="Times New Roman" w:cs="Times New Roman" w:eastAsiaTheme="minorEastAsia"/>
                <w:color w:val="auto"/>
                <w:sz w:val="18"/>
                <w:szCs w:val="18"/>
              </w:rPr>
              <w:t>（GLU）</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尿胆红素</w:t>
            </w:r>
            <w:r>
              <w:rPr>
                <w:rFonts w:hint="default" w:ascii="Times New Roman" w:hAnsi="Times New Roman" w:cs="Times New Roman" w:eastAsiaTheme="minorEastAsia"/>
                <w:color w:val="auto"/>
                <w:sz w:val="18"/>
                <w:szCs w:val="18"/>
              </w:rPr>
              <w:t>（BIL）</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lang w:val="zh-TW"/>
              </w:rPr>
              <w:t>潜</w:t>
            </w:r>
            <w:r>
              <w:rPr>
                <w:rFonts w:hint="default" w:ascii="Times New Roman" w:hAnsi="Times New Roman" w:cs="Times New Roman" w:eastAsiaTheme="minorEastAsia"/>
                <w:color w:val="auto"/>
                <w:sz w:val="18"/>
                <w:szCs w:val="18"/>
                <w:lang w:val="zh-TW"/>
              </w:rPr>
              <w:t>血</w:t>
            </w:r>
            <w:r>
              <w:rPr>
                <w:rFonts w:hint="default" w:ascii="Times New Roman" w:hAnsi="Times New Roman" w:cs="Times New Roman" w:eastAsiaTheme="minorEastAsia"/>
                <w:color w:val="auto"/>
                <w:sz w:val="18"/>
                <w:szCs w:val="18"/>
              </w:rPr>
              <w:t>（BLD）</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尿蛋白</w:t>
            </w:r>
            <w:r>
              <w:rPr>
                <w:rFonts w:hint="default" w:ascii="Times New Roman" w:hAnsi="Times New Roman" w:cs="Times New Roman" w:eastAsiaTheme="minorEastAsia"/>
                <w:color w:val="auto"/>
                <w:sz w:val="18"/>
                <w:szCs w:val="18"/>
              </w:rPr>
              <w:t>（PRO）</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lang w:val="zh-TW"/>
              </w:rPr>
              <w:t>尿</w:t>
            </w:r>
            <w:r>
              <w:rPr>
                <w:rFonts w:hint="default" w:ascii="Times New Roman" w:hAnsi="Times New Roman" w:cs="Times New Roman" w:eastAsiaTheme="minorEastAsia"/>
                <w:color w:val="auto"/>
                <w:sz w:val="18"/>
                <w:szCs w:val="18"/>
                <w:lang w:val="zh-TW" w:eastAsia="zh-TW"/>
              </w:rPr>
              <w:t>酮体</w:t>
            </w:r>
            <w:r>
              <w:rPr>
                <w:rFonts w:hint="default" w:ascii="Times New Roman" w:hAnsi="Times New Roman" w:cs="Times New Roman" w:eastAsiaTheme="minorEastAsia"/>
                <w:color w:val="auto"/>
                <w:sz w:val="18"/>
                <w:szCs w:val="18"/>
              </w:rPr>
              <w:t>（KET）</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lang w:val="zh-TW"/>
              </w:rPr>
              <w:t>尿</w:t>
            </w:r>
            <w:r>
              <w:rPr>
                <w:rFonts w:hint="default" w:ascii="Times New Roman" w:hAnsi="Times New Roman" w:cs="Times New Roman" w:eastAsiaTheme="minorEastAsia"/>
                <w:color w:val="auto"/>
                <w:sz w:val="18"/>
                <w:szCs w:val="18"/>
                <w:lang w:val="zh-TW" w:eastAsia="zh-TW"/>
              </w:rPr>
              <w:t>比重</w:t>
            </w:r>
            <w:r>
              <w:rPr>
                <w:rFonts w:hint="default" w:ascii="Times New Roman" w:hAnsi="Times New Roman" w:cs="Times New Roman" w:eastAsiaTheme="minorEastAsia"/>
                <w:color w:val="auto"/>
                <w:sz w:val="18"/>
                <w:szCs w:val="18"/>
              </w:rPr>
              <w:t>（SG）</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rPr>
              <w:t>酸碱值（PH）</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尿胆原</w:t>
            </w:r>
            <w:r>
              <w:rPr>
                <w:rFonts w:hint="default" w:ascii="Times New Roman" w:hAnsi="Times New Roman" w:cs="Times New Roman" w:eastAsiaTheme="minorEastAsia"/>
                <w:color w:val="auto"/>
                <w:sz w:val="18"/>
                <w:szCs w:val="18"/>
              </w:rPr>
              <w:t>（UBG）</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lang w:val="zh-TW"/>
              </w:rPr>
              <w:t>尿</w:t>
            </w:r>
            <w:r>
              <w:rPr>
                <w:rFonts w:hint="default" w:ascii="Times New Roman" w:hAnsi="Times New Roman" w:cs="Times New Roman" w:eastAsiaTheme="minorEastAsia"/>
                <w:color w:val="auto"/>
                <w:sz w:val="18"/>
                <w:szCs w:val="18"/>
                <w:lang w:val="zh-TW" w:eastAsia="zh-TW"/>
              </w:rPr>
              <w:t>白细胞</w:t>
            </w:r>
            <w:r>
              <w:rPr>
                <w:rFonts w:hint="default" w:ascii="Times New Roman" w:hAnsi="Times New Roman" w:cs="Times New Roman" w:eastAsiaTheme="minorEastAsia"/>
                <w:color w:val="auto"/>
                <w:sz w:val="18"/>
                <w:szCs w:val="18"/>
              </w:rPr>
              <w:t>（</w:t>
            </w:r>
            <w:r>
              <w:rPr>
                <w:rFonts w:ascii="Times New Roman" w:hAnsi="Times New Roman" w:cs="Times New Roman" w:eastAsiaTheme="minorEastAsia"/>
                <w:color w:val="auto"/>
                <w:sz w:val="18"/>
                <w:szCs w:val="18"/>
              </w:rPr>
              <w:t>LEU</w:t>
            </w:r>
            <w:r>
              <w:rPr>
                <w:rFonts w:hint="default" w:ascii="Times New Roman" w:hAnsi="Times New Roman" w:cs="Times New Roman" w:eastAsiaTheme="minorEastAsia"/>
                <w:color w:val="auto"/>
                <w:sz w:val="18"/>
                <w:szCs w:val="18"/>
              </w:rPr>
              <w:t>）</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lang w:val="zh-TW"/>
              </w:rPr>
            </w:pPr>
            <w:r>
              <w:rPr>
                <w:rFonts w:hint="default" w:ascii="Times New Roman" w:hAnsi="Times New Roman" w:cs="Times New Roman" w:eastAsiaTheme="minorEastAsia"/>
                <w:color w:val="auto"/>
                <w:sz w:val="18"/>
                <w:szCs w:val="18"/>
                <w:lang w:val="zh-TW"/>
              </w:rPr>
              <w:t>镜检白细胞（镜检WBC）</w:t>
            </w:r>
          </w:p>
          <w:p>
            <w:pPr>
              <w:pStyle w:val="102"/>
              <w:autoSpaceDE w:val="0"/>
              <w:autoSpaceDN w:val="0"/>
              <w:adjustRightInd w:val="0"/>
              <w:snapToGrid w:val="0"/>
              <w:ind w:left="0" w:firstLine="0"/>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rPr>
              <w:t>镜检红细胞（镜检RB</w:t>
            </w:r>
            <w:r>
              <w:rPr>
                <w:rFonts w:ascii="Times New Roman" w:hAnsi="Times New Roman" w:cs="Times New Roman" w:eastAsiaTheme="minorEastAsia"/>
                <w:color w:val="auto"/>
                <w:sz w:val="18"/>
                <w:szCs w:val="18"/>
              </w:rPr>
              <w:t>C)</w:t>
            </w:r>
          </w:p>
          <w:p>
            <w:pPr>
              <w:widowControl w:val="0"/>
              <w:autoSpaceDE w:val="0"/>
              <w:autoSpaceDN w:val="0"/>
              <w:adjustRightInd w:val="0"/>
              <w:ind w:left="0" w:firstLine="0"/>
              <w:contextualSpacing/>
              <w:rPr>
                <w:rFonts w:eastAsiaTheme="minorEastAsia"/>
                <w:b/>
                <w:bCs/>
                <w:sz w:val="18"/>
                <w:szCs w:val="20"/>
                <w:lang w:val="zh-TW"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5" w:hRule="atLeast"/>
          <w:jc w:val="center"/>
        </w:trPr>
        <w:tc>
          <w:tcPr>
            <w:tcW w:w="5042"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18"/>
                <w:lang w:val="zh-TW"/>
              </w:rPr>
            </w:pPr>
            <w:r>
              <w:rPr>
                <w:rFonts w:hint="default" w:ascii="Times New Roman" w:hAnsi="Times New Roman" w:cs="Times New Roman" w:eastAsiaTheme="minorEastAsia"/>
                <w:b/>
                <w:bCs/>
                <w:color w:val="auto"/>
                <w:sz w:val="18"/>
                <w:szCs w:val="18"/>
                <w:lang w:val="zh-TW"/>
              </w:rPr>
              <w:t>妊娠试验</w:t>
            </w:r>
            <w:r>
              <w:rPr>
                <w:rFonts w:hint="default" w:ascii="Times New Roman" w:hAnsi="Times New Roman" w:cs="Times New Roman" w:eastAsiaTheme="minorEastAsia"/>
                <w:color w:val="auto"/>
                <w:sz w:val="18"/>
                <w:szCs w:val="18"/>
                <w:lang w:val="zh-TW"/>
              </w:rPr>
              <w:t>（仅限女性）</w:t>
            </w:r>
          </w:p>
          <w:p>
            <w:pPr>
              <w:pStyle w:val="102"/>
              <w:autoSpaceDE w:val="0"/>
              <w:autoSpaceDN w:val="0"/>
              <w:adjustRightInd w:val="0"/>
              <w:ind w:left="0" w:firstLine="0"/>
              <w:contextualSpacing/>
              <w:rPr>
                <w:rFonts w:hint="default" w:ascii="Times New Roman" w:hAnsi="Times New Roman" w:cs="Times New Roman" w:eastAsiaTheme="minorEastAsia"/>
                <w:iCs/>
                <w:color w:val="auto"/>
                <w:sz w:val="18"/>
                <w:szCs w:val="18"/>
                <w:lang w:val="zh-TW"/>
              </w:rPr>
            </w:pPr>
            <w:r>
              <w:rPr>
                <w:rFonts w:hint="default" w:ascii="Times New Roman" w:hAnsi="Times New Roman" w:cs="Times New Roman" w:eastAsiaTheme="minorEastAsia"/>
                <w:i/>
                <w:iCs/>
                <w:color w:val="auto"/>
                <w:sz w:val="18"/>
                <w:szCs w:val="18"/>
                <w:lang w:val="zh-TW"/>
              </w:rPr>
              <w:t>（筛选，入住及出组时做血妊娠检查）</w:t>
            </w:r>
          </w:p>
        </w:tc>
        <w:tc>
          <w:tcPr>
            <w:tcW w:w="4137" w:type="dxa"/>
            <w:vMerge w:val="continue"/>
            <w:tcBorders>
              <w:left w:val="single" w:color="000000" w:sz="4" w:space="0"/>
              <w:right w:val="single" w:color="000000" w:sz="4" w:space="0"/>
            </w:tcBorders>
            <w:tcMar>
              <w:top w:w="80" w:type="dxa"/>
              <w:left w:w="80" w:type="dxa"/>
              <w:bottom w:w="80" w:type="dxa"/>
              <w:right w:w="80" w:type="dxa"/>
            </w:tcMar>
          </w:tcPr>
          <w:p>
            <w:pPr>
              <w:widowControl w:val="0"/>
              <w:autoSpaceDE w:val="0"/>
              <w:autoSpaceDN w:val="0"/>
              <w:adjustRightInd w:val="0"/>
              <w:ind w:left="0"/>
              <w:contextualSpacing/>
              <w:rPr>
                <w:rFonts w:eastAsiaTheme="minorEastAsia"/>
                <w:sz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86" w:hRule="atLeast"/>
          <w:jc w:val="center"/>
        </w:trPr>
        <w:tc>
          <w:tcPr>
            <w:tcW w:w="5042" w:type="dxa"/>
            <w:tcBorders>
              <w:top w:val="single" w:color="auto" w:sz="4" w:space="0"/>
              <w:left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eastAsia" w:ascii="Times New Roman" w:hAnsi="Times New Roman" w:cs="Times New Roman" w:eastAsiaTheme="minorEastAsia"/>
                <w:b/>
                <w:bCs/>
                <w:color w:val="auto"/>
                <w:sz w:val="18"/>
                <w:szCs w:val="20"/>
                <w:lang w:val="zh-TW"/>
              </w:rPr>
            </w:pPr>
            <w:r>
              <w:rPr>
                <w:rFonts w:hint="default" w:ascii="Times New Roman" w:hAnsi="Times New Roman" w:cs="Times New Roman" w:eastAsiaTheme="minorEastAsia"/>
                <w:b/>
                <w:bCs/>
                <w:color w:val="auto"/>
                <w:sz w:val="18"/>
                <w:szCs w:val="20"/>
                <w:lang w:val="zh-TW"/>
              </w:rPr>
              <w:t>凝血</w:t>
            </w:r>
            <w:r>
              <w:rPr>
                <w:rFonts w:hint="eastAsia" w:ascii="Times New Roman" w:hAnsi="Times New Roman" w:cs="Times New Roman" w:eastAsiaTheme="minorEastAsia"/>
                <w:b/>
                <w:bCs/>
                <w:color w:val="auto"/>
                <w:sz w:val="18"/>
                <w:szCs w:val="20"/>
                <w:lang w:val="en-US" w:eastAsia="zh-CN"/>
              </w:rPr>
              <w:t>功能</w:t>
            </w:r>
          </w:p>
          <w:p>
            <w:pPr>
              <w:pStyle w:val="102"/>
              <w:autoSpaceDE w:val="0"/>
              <w:autoSpaceDN w:val="0"/>
              <w:adjustRightInd w:val="0"/>
              <w:ind w:left="0" w:firstLine="0"/>
              <w:contextualSpacing/>
              <w:rPr>
                <w:rFonts w:hint="default" w:ascii="Times New Roman" w:hAnsi="Times New Roman" w:cs="Times New Roman" w:eastAsiaTheme="minorEastAsia"/>
                <w:b w:val="0"/>
                <w:bCs w:val="0"/>
                <w:i/>
                <w:iCs/>
                <w:color w:val="auto"/>
                <w:sz w:val="18"/>
                <w:szCs w:val="20"/>
                <w:lang w:val="zh-TW"/>
              </w:rPr>
            </w:pPr>
            <w:r>
              <w:rPr>
                <w:rFonts w:hint="default" w:ascii="Times New Roman" w:hAnsi="Times New Roman" w:cs="Times New Roman" w:eastAsiaTheme="minorEastAsia"/>
                <w:b w:val="0"/>
                <w:bCs w:val="0"/>
                <w:i/>
                <w:iCs/>
                <w:color w:val="auto"/>
                <w:sz w:val="18"/>
                <w:szCs w:val="20"/>
                <w:lang w:val="zh-TW"/>
              </w:rPr>
              <w:t>（在筛查、出组离开前检查下列各项）</w:t>
            </w:r>
          </w:p>
          <w:p>
            <w:pPr>
              <w:pStyle w:val="102"/>
              <w:autoSpaceDE w:val="0"/>
              <w:autoSpaceDN w:val="0"/>
              <w:adjustRightInd w:val="0"/>
              <w:ind w:left="0" w:firstLine="0"/>
              <w:contextualSpacing/>
              <w:rPr>
                <w:rFonts w:hint="default" w:ascii="Times New Roman" w:hAnsi="Times New Roman" w:cs="Times New Roman" w:eastAsiaTheme="minorEastAsia"/>
                <w:b w:val="0"/>
                <w:bCs w:val="0"/>
                <w:color w:val="auto"/>
                <w:sz w:val="18"/>
                <w:szCs w:val="20"/>
                <w:lang w:val="zh-TW"/>
              </w:rPr>
            </w:pPr>
            <w:r>
              <w:rPr>
                <w:rFonts w:hint="default" w:ascii="Times New Roman" w:hAnsi="Times New Roman" w:cs="Times New Roman" w:eastAsiaTheme="minorEastAsia"/>
                <w:b w:val="0"/>
                <w:bCs w:val="0"/>
                <w:color w:val="auto"/>
                <w:sz w:val="18"/>
                <w:szCs w:val="20"/>
                <w:lang w:val="zh-TW"/>
              </w:rPr>
              <w:t>活化部分凝血活酶时间（APTT）</w:t>
            </w:r>
          </w:p>
          <w:p>
            <w:pPr>
              <w:pStyle w:val="102"/>
              <w:autoSpaceDE w:val="0"/>
              <w:autoSpaceDN w:val="0"/>
              <w:adjustRightInd w:val="0"/>
              <w:ind w:left="0" w:firstLine="0"/>
              <w:contextualSpacing/>
              <w:rPr>
                <w:rFonts w:hint="default" w:ascii="Times New Roman" w:hAnsi="Times New Roman" w:cs="Times New Roman" w:eastAsiaTheme="minorEastAsia"/>
                <w:b w:val="0"/>
                <w:bCs w:val="0"/>
                <w:color w:val="auto"/>
                <w:sz w:val="18"/>
                <w:szCs w:val="20"/>
                <w:lang w:val="zh-TW"/>
              </w:rPr>
            </w:pPr>
            <w:r>
              <w:rPr>
                <w:rFonts w:hint="default" w:ascii="Times New Roman" w:hAnsi="Times New Roman" w:cs="Times New Roman" w:eastAsiaTheme="minorEastAsia"/>
                <w:b w:val="0"/>
                <w:bCs w:val="0"/>
                <w:color w:val="auto"/>
                <w:sz w:val="18"/>
                <w:szCs w:val="20"/>
                <w:lang w:val="zh-TW"/>
              </w:rPr>
              <w:t>凝血酶原时间（PT）</w:t>
            </w:r>
          </w:p>
          <w:p>
            <w:pPr>
              <w:pStyle w:val="102"/>
              <w:autoSpaceDE w:val="0"/>
              <w:autoSpaceDN w:val="0"/>
              <w:adjustRightInd w:val="0"/>
              <w:ind w:left="0" w:firstLine="0"/>
              <w:contextualSpacing/>
              <w:rPr>
                <w:rFonts w:hint="default" w:ascii="Times New Roman" w:hAnsi="Times New Roman" w:cs="Times New Roman" w:eastAsiaTheme="minorEastAsia"/>
                <w:b w:val="0"/>
                <w:bCs w:val="0"/>
                <w:color w:val="auto"/>
                <w:sz w:val="18"/>
                <w:szCs w:val="20"/>
                <w:lang w:val="zh-TW"/>
              </w:rPr>
            </w:pPr>
            <w:r>
              <w:rPr>
                <w:rFonts w:hint="default" w:ascii="Times New Roman" w:hAnsi="Times New Roman" w:cs="Times New Roman" w:eastAsiaTheme="minorEastAsia"/>
                <w:b w:val="0"/>
                <w:bCs w:val="0"/>
                <w:color w:val="auto"/>
                <w:sz w:val="18"/>
                <w:szCs w:val="20"/>
                <w:lang w:val="zh-TW"/>
              </w:rPr>
              <w:t>纤维蛋白原含量（Fbg）</w:t>
            </w:r>
          </w:p>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18"/>
                <w:lang w:val="zh-TW"/>
              </w:rPr>
            </w:pPr>
            <w:r>
              <w:rPr>
                <w:rFonts w:hint="default" w:ascii="Times New Roman" w:hAnsi="Times New Roman" w:cs="Times New Roman" w:eastAsiaTheme="minorEastAsia"/>
                <w:b w:val="0"/>
                <w:bCs w:val="0"/>
                <w:color w:val="auto"/>
                <w:sz w:val="18"/>
                <w:szCs w:val="20"/>
                <w:lang w:val="zh-TW"/>
              </w:rPr>
              <w:t>凝血酶时间(TT)</w:t>
            </w:r>
          </w:p>
        </w:tc>
        <w:tc>
          <w:tcPr>
            <w:tcW w:w="4137" w:type="dxa"/>
            <w:vMerge w:val="continue"/>
            <w:tcBorders>
              <w:left w:val="single" w:color="000000" w:sz="4" w:space="0"/>
              <w:right w:val="single" w:color="000000" w:sz="4" w:space="0"/>
            </w:tcBorders>
            <w:tcMar>
              <w:top w:w="80" w:type="dxa"/>
              <w:left w:w="80" w:type="dxa"/>
              <w:bottom w:w="80" w:type="dxa"/>
              <w:right w:w="80" w:type="dxa"/>
            </w:tcMar>
          </w:tcPr>
          <w:p>
            <w:pPr>
              <w:widowControl w:val="0"/>
              <w:autoSpaceDE w:val="0"/>
              <w:autoSpaceDN w:val="0"/>
              <w:adjustRightInd w:val="0"/>
              <w:ind w:left="0"/>
              <w:contextualSpacing/>
              <w:rPr>
                <w:rFonts w:eastAsiaTheme="minorEastAsia"/>
                <w:b/>
                <w:bCs/>
                <w:sz w:val="18"/>
                <w:szCs w:val="20"/>
                <w:lang w:val="zh-TW" w:eastAsia="zh-TW"/>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0" w:hRule="atLeast"/>
          <w:jc w:val="center"/>
        </w:trPr>
        <w:tc>
          <w:tcPr>
            <w:tcW w:w="5042" w:type="dxa"/>
            <w:vMerge w:val="restart"/>
            <w:tcBorders>
              <w:top w:val="single" w:color="000000" w:sz="4" w:space="0"/>
              <w:left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i/>
                <w:iCs/>
                <w:color w:val="auto"/>
                <w:sz w:val="18"/>
                <w:szCs w:val="20"/>
              </w:rPr>
            </w:pPr>
            <w:r>
              <w:rPr>
                <w:rFonts w:hint="default" w:ascii="Times New Roman" w:hAnsi="Times New Roman" w:cs="Times New Roman" w:eastAsiaTheme="minorEastAsia"/>
                <w:b/>
                <w:bCs/>
                <w:color w:val="auto"/>
                <w:sz w:val="18"/>
                <w:szCs w:val="20"/>
                <w:lang w:val="zh-TW"/>
              </w:rPr>
              <w:t>输血四项</w:t>
            </w:r>
          </w:p>
          <w:p>
            <w:pPr>
              <w:widowControl w:val="0"/>
              <w:autoSpaceDE w:val="0"/>
              <w:autoSpaceDN w:val="0"/>
              <w:adjustRightInd w:val="0"/>
              <w:ind w:left="0" w:firstLine="0"/>
              <w:contextualSpacing/>
              <w:rPr>
                <w:rFonts w:eastAsiaTheme="minorEastAsia"/>
                <w:b/>
                <w:bCs/>
                <w:i/>
                <w:iCs/>
                <w:kern w:val="2"/>
                <w:sz w:val="18"/>
                <w:szCs w:val="18"/>
                <w:u w:color="000000"/>
                <w:lang w:eastAsia="zh-CN"/>
              </w:rPr>
            </w:pPr>
            <w:r>
              <w:rPr>
                <w:rFonts w:eastAsiaTheme="minorEastAsia"/>
                <w:i/>
                <w:iCs/>
                <w:kern w:val="2"/>
                <w:sz w:val="18"/>
                <w:szCs w:val="18"/>
                <w:u w:color="000000"/>
                <w:lang w:val="zh-TW" w:eastAsia="zh-TW"/>
              </w:rPr>
              <w:t>（在筛查</w:t>
            </w:r>
            <w:r>
              <w:rPr>
                <w:rFonts w:eastAsiaTheme="minorEastAsia"/>
                <w:i/>
                <w:iCs/>
                <w:sz w:val="18"/>
                <w:szCs w:val="18"/>
                <w:lang w:val="zh-TW" w:eastAsia="zh-CN"/>
              </w:rPr>
              <w:t>时</w:t>
            </w:r>
            <w:r>
              <w:rPr>
                <w:rFonts w:eastAsiaTheme="minorEastAsia"/>
                <w:i/>
                <w:iCs/>
                <w:kern w:val="2"/>
                <w:sz w:val="18"/>
                <w:szCs w:val="18"/>
                <w:u w:color="000000"/>
                <w:lang w:val="zh-TW" w:eastAsia="zh-TW"/>
              </w:rPr>
              <w:t>检查下列各项）</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乙型</w:t>
            </w:r>
            <w:r>
              <w:rPr>
                <w:rFonts w:ascii="Times New Roman" w:hAnsi="Times New Roman" w:cs="Times New Roman" w:eastAsiaTheme="minorEastAsia"/>
                <w:color w:val="auto"/>
                <w:sz w:val="18"/>
                <w:szCs w:val="18"/>
                <w:lang w:val="zh-TW"/>
              </w:rPr>
              <w:t>病毒</w:t>
            </w:r>
            <w:r>
              <w:rPr>
                <w:rFonts w:hint="default" w:ascii="Times New Roman" w:hAnsi="Times New Roman" w:cs="Times New Roman" w:eastAsiaTheme="minorEastAsia"/>
                <w:color w:val="auto"/>
                <w:sz w:val="18"/>
                <w:szCs w:val="18"/>
                <w:lang w:val="zh-TW" w:eastAsia="zh-TW"/>
              </w:rPr>
              <w:t>表面抗原（HBsAg）</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eastAsia="zh-TW"/>
              </w:rPr>
              <w:t>丙</w:t>
            </w:r>
            <w:r>
              <w:rPr>
                <w:rFonts w:hint="default" w:ascii="Times New Roman" w:hAnsi="Times New Roman" w:cs="Times New Roman" w:eastAsiaTheme="minorEastAsia"/>
                <w:color w:val="auto"/>
                <w:sz w:val="18"/>
                <w:szCs w:val="18"/>
                <w:lang w:val="zh-TW"/>
              </w:rPr>
              <w:t>型</w:t>
            </w:r>
            <w:r>
              <w:rPr>
                <w:rFonts w:ascii="Times New Roman" w:hAnsi="Times New Roman" w:cs="Times New Roman" w:eastAsiaTheme="minorEastAsia"/>
                <w:color w:val="auto"/>
                <w:sz w:val="18"/>
                <w:szCs w:val="18"/>
                <w:lang w:val="zh-TW"/>
              </w:rPr>
              <w:t>病毒</w:t>
            </w:r>
            <w:r>
              <w:rPr>
                <w:rFonts w:hint="default" w:ascii="Times New Roman" w:hAnsi="Times New Roman" w:cs="Times New Roman" w:eastAsiaTheme="minorEastAsia"/>
                <w:color w:val="auto"/>
                <w:sz w:val="18"/>
                <w:szCs w:val="18"/>
                <w:lang w:val="zh-TW" w:eastAsia="zh-TW"/>
              </w:rPr>
              <w:t>抗体</w:t>
            </w:r>
            <w:r>
              <w:rPr>
                <w:rFonts w:hint="default" w:ascii="Times New Roman" w:hAnsi="Times New Roman" w:cs="Times New Roman" w:eastAsiaTheme="minorEastAsia"/>
                <w:color w:val="auto"/>
                <w:sz w:val="18"/>
                <w:szCs w:val="18"/>
                <w:lang w:val="zh-TW"/>
              </w:rPr>
              <w:t>（</w:t>
            </w:r>
            <w:r>
              <w:rPr>
                <w:rFonts w:ascii="Times New Roman" w:hAnsi="Times New Roman" w:cs="Times New Roman" w:eastAsiaTheme="minorEastAsia"/>
                <w:color w:val="auto"/>
                <w:sz w:val="18"/>
                <w:szCs w:val="18"/>
                <w:lang w:val="zh-TW"/>
              </w:rPr>
              <w:t>抗</w:t>
            </w:r>
            <w:r>
              <w:rPr>
                <w:rFonts w:hint="default" w:ascii="Times New Roman" w:hAnsi="Times New Roman" w:cs="Times New Roman" w:eastAsiaTheme="minorEastAsia"/>
                <w:color w:val="auto"/>
                <w:sz w:val="18"/>
                <w:szCs w:val="18"/>
              </w:rPr>
              <w:t>HCV</w:t>
            </w:r>
            <w:r>
              <w:rPr>
                <w:rFonts w:ascii="Times New Roman" w:hAnsi="Times New Roman" w:cs="Times New Roman" w:eastAsiaTheme="minorEastAsia"/>
                <w:color w:val="auto"/>
                <w:sz w:val="18"/>
                <w:szCs w:val="18"/>
              </w:rPr>
              <w:t>-IgG</w:t>
            </w:r>
            <w:r>
              <w:rPr>
                <w:rFonts w:hint="default" w:ascii="Times New Roman" w:hAnsi="Times New Roman" w:cs="Times New Roman" w:eastAsiaTheme="minorEastAsia"/>
                <w:color w:val="auto"/>
                <w:sz w:val="18"/>
                <w:szCs w:val="18"/>
              </w:rPr>
              <w:t>）</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rPr>
            </w:pPr>
            <w:r>
              <w:rPr>
                <w:rFonts w:ascii="Times New Roman" w:hAnsi="Times New Roman" w:cs="Times New Roman" w:eastAsiaTheme="minorEastAsia"/>
                <w:color w:val="auto"/>
                <w:sz w:val="18"/>
                <w:szCs w:val="18"/>
              </w:rPr>
              <w:t>HIV</w:t>
            </w:r>
            <w:r>
              <w:rPr>
                <w:rFonts w:hint="default" w:ascii="Times New Roman" w:hAnsi="Times New Roman" w:cs="Times New Roman" w:eastAsiaTheme="minorEastAsia"/>
                <w:color w:val="auto"/>
                <w:sz w:val="18"/>
                <w:szCs w:val="18"/>
              </w:rPr>
              <w:t>抗体（Anti-HIV）</w:t>
            </w:r>
          </w:p>
          <w:p>
            <w:pPr>
              <w:pStyle w:val="102"/>
              <w:autoSpaceDE w:val="0"/>
              <w:autoSpaceDN w:val="0"/>
              <w:adjustRightInd w:val="0"/>
              <w:ind w:left="0" w:firstLine="0"/>
              <w:contextualSpacing/>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lang w:val="zh-TW"/>
              </w:rPr>
              <w:t>梅毒螺旋体抗体（Ant</w:t>
            </w:r>
            <w:r>
              <w:rPr>
                <w:rFonts w:ascii="Times New Roman" w:hAnsi="Times New Roman" w:cs="Times New Roman" w:eastAsiaTheme="minorEastAsia"/>
                <w:color w:val="auto"/>
                <w:sz w:val="18"/>
                <w:szCs w:val="18"/>
              </w:rPr>
              <w:t>i</w:t>
            </w:r>
            <w:r>
              <w:rPr>
                <w:rFonts w:hint="default" w:ascii="Times New Roman" w:hAnsi="Times New Roman" w:cs="Times New Roman" w:eastAsiaTheme="minorEastAsia"/>
                <w:color w:val="auto"/>
                <w:sz w:val="18"/>
                <w:szCs w:val="18"/>
                <w:lang w:val="zh-TW"/>
              </w:rPr>
              <w:t>-TP）</w:t>
            </w:r>
          </w:p>
        </w:tc>
        <w:tc>
          <w:tcPr>
            <w:tcW w:w="4137" w:type="dxa"/>
            <w:vMerge w:val="continue"/>
            <w:tcBorders>
              <w:left w:val="single" w:color="000000" w:sz="4" w:space="0"/>
              <w:bottom w:val="single" w:color="auto" w:sz="4" w:space="0"/>
              <w:right w:val="single" w:color="000000" w:sz="4" w:space="0"/>
            </w:tcBorders>
          </w:tcPr>
          <w:p>
            <w:pPr>
              <w:widowControl w:val="0"/>
              <w:autoSpaceDE w:val="0"/>
              <w:autoSpaceDN w:val="0"/>
              <w:adjustRightInd w:val="0"/>
              <w:ind w:left="0"/>
              <w:contextualSpacing/>
              <w:rPr>
                <w:rFonts w:eastAsiaTheme="minorEastAsia"/>
                <w:sz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68" w:hRule="atLeast"/>
          <w:jc w:val="center"/>
        </w:trPr>
        <w:tc>
          <w:tcPr>
            <w:tcW w:w="5042" w:type="dxa"/>
            <w:vMerge w:val="continue"/>
            <w:tcBorders>
              <w:left w:val="single" w:color="000000" w:sz="4" w:space="0"/>
              <w:bottom w:val="single" w:color="000000" w:sz="4" w:space="0"/>
              <w:right w:val="single" w:color="000000" w:sz="4" w:space="0"/>
            </w:tcBorders>
            <w:tcMar>
              <w:top w:w="80" w:type="dxa"/>
              <w:left w:w="80" w:type="dxa"/>
              <w:bottom w:w="80" w:type="dxa"/>
              <w:right w:w="80" w:type="dxa"/>
            </w:tcMar>
          </w:tcPr>
          <w:p>
            <w:pPr>
              <w:pStyle w:val="102"/>
              <w:autoSpaceDE w:val="0"/>
              <w:autoSpaceDN w:val="0"/>
              <w:adjustRightInd w:val="0"/>
              <w:ind w:left="0" w:firstLine="0"/>
              <w:contextualSpacing/>
              <w:rPr>
                <w:rFonts w:hint="default" w:ascii="Times New Roman" w:hAnsi="Times New Roman" w:cs="Times New Roman" w:eastAsiaTheme="minorEastAsia"/>
                <w:b/>
                <w:bCs/>
                <w:color w:val="auto"/>
                <w:sz w:val="18"/>
                <w:szCs w:val="20"/>
                <w:lang w:val="zh-TW"/>
              </w:rPr>
            </w:pPr>
          </w:p>
        </w:tc>
        <w:tc>
          <w:tcPr>
            <w:tcW w:w="4137" w:type="dxa"/>
            <w:tcBorders>
              <w:top w:val="single" w:color="auto" w:sz="4" w:space="0"/>
              <w:left w:val="single" w:color="000000" w:sz="4" w:space="0"/>
              <w:bottom w:val="single" w:color="000000" w:sz="4" w:space="0"/>
              <w:right w:val="single" w:color="000000" w:sz="4" w:space="0"/>
            </w:tcBorders>
          </w:tcPr>
          <w:p>
            <w:pPr>
              <w:widowControl w:val="0"/>
              <w:autoSpaceDE w:val="0"/>
              <w:autoSpaceDN w:val="0"/>
              <w:adjustRightInd w:val="0"/>
              <w:ind w:left="0"/>
              <w:contextualSpacing/>
              <w:rPr>
                <w:rFonts w:eastAsiaTheme="minorEastAsia"/>
                <w:sz w:val="18"/>
                <w:lang w:eastAsia="zh-CN"/>
              </w:rPr>
            </w:pPr>
            <w:r>
              <w:rPr>
                <w:rFonts w:eastAsiaTheme="minorEastAsia"/>
                <w:sz w:val="18"/>
                <w:lang w:eastAsia="zh-CN"/>
              </w:rPr>
              <w:t>边唱歌</w:t>
            </w:r>
          </w:p>
        </w:tc>
      </w:tr>
    </w:tbl>
    <w:p>
      <w:pPr>
        <w:pStyle w:val="2"/>
        <w:keepNext w:val="0"/>
        <w:keepLines w:val="0"/>
        <w:autoSpaceDE w:val="0"/>
        <w:autoSpaceDN w:val="0"/>
        <w:adjustRightInd w:val="0"/>
        <w:spacing w:line="360" w:lineRule="auto"/>
        <w:ind w:left="0" w:firstLine="0"/>
        <w:contextualSpacing/>
        <w:rPr>
          <w:rFonts w:ascii="Times New Roman" w:hAnsi="Times New Roman" w:eastAsiaTheme="minorEastAsia"/>
          <w:color w:val="auto"/>
          <w:sz w:val="24"/>
          <w:szCs w:val="24"/>
          <w:lang w:val="zh-TW" w:eastAsia="zh-TW"/>
        </w:rPr>
      </w:pPr>
      <w:bookmarkStart w:id="457" w:name="_Toc447001495"/>
      <w:bookmarkStart w:id="458" w:name="_Toc446058209"/>
      <w:bookmarkStart w:id="459" w:name="_Toc449282058"/>
      <w:r>
        <w:rPr>
          <w:rFonts w:ascii="Times New Roman" w:hAnsi="Times New Roman" w:eastAsiaTheme="minorEastAsia"/>
          <w:color w:val="auto"/>
          <w:sz w:val="24"/>
          <w:szCs w:val="24"/>
          <w:lang w:val="zh-TW" w:eastAsia="zh-TW"/>
        </w:rPr>
        <w:br w:type="page"/>
      </w:r>
      <w:bookmarkStart w:id="460" w:name="_Toc521584626"/>
      <w:bookmarkStart w:id="461" w:name="_Toc14206"/>
      <w:bookmarkStart w:id="462" w:name="_Toc460952538"/>
      <w:r>
        <w:rPr>
          <w:rFonts w:ascii="Times New Roman" w:hAnsi="Times New Roman" w:eastAsiaTheme="minorEastAsia"/>
          <w:color w:val="auto"/>
          <w:sz w:val="24"/>
          <w:szCs w:val="24"/>
          <w:lang w:val="zh-TW" w:eastAsia="zh-TW"/>
        </w:rPr>
        <w:t>附录</w:t>
      </w:r>
      <w:r>
        <w:rPr>
          <w:rFonts w:ascii="Times New Roman" w:hAnsi="Times New Roman" w:eastAsiaTheme="minorEastAsia"/>
          <w:color w:val="auto"/>
          <w:sz w:val="24"/>
          <w:szCs w:val="24"/>
          <w:lang w:eastAsia="zh-CN"/>
        </w:rPr>
        <w:t>2</w:t>
      </w:r>
      <w:r>
        <w:rPr>
          <w:rFonts w:ascii="Times New Roman" w:hAnsi="Times New Roman" w:eastAsiaTheme="minorEastAsia"/>
          <w:color w:val="auto"/>
          <w:sz w:val="24"/>
          <w:szCs w:val="24"/>
          <w:lang w:val="zh-TW" w:eastAsia="zh-TW"/>
        </w:rPr>
        <w:t>：避孕措施、育龄女性的定义和避孕要求</w:t>
      </w:r>
      <w:bookmarkEnd w:id="457"/>
      <w:bookmarkEnd w:id="458"/>
      <w:bookmarkEnd w:id="459"/>
      <w:bookmarkEnd w:id="460"/>
      <w:bookmarkEnd w:id="461"/>
      <w:bookmarkEnd w:id="462"/>
    </w:p>
    <w:p>
      <w:pPr>
        <w:contextualSpacing/>
        <w:rPr>
          <w:rFonts w:eastAsiaTheme="minorEastAsia"/>
          <w:lang w:val="zh-TW" w:eastAsia="zh-CN"/>
        </w:rPr>
      </w:pPr>
      <w:r>
        <w:rPr>
          <w:rFonts w:eastAsiaTheme="minorEastAsia"/>
          <w:lang w:eastAsia="zh-CN"/>
        </w:rPr>
        <w:t xml:space="preserve">1. </w:t>
      </w:r>
      <w:r>
        <w:rPr>
          <w:rFonts w:eastAsiaTheme="minorEastAsia"/>
          <w:lang w:val="zh-TW" w:eastAsia="zh-CN"/>
        </w:rPr>
        <w:t>整个试验期间，受试者（或其伴侣）必须同意以下操作之一：</w:t>
      </w:r>
    </w:p>
    <w:p>
      <w:pPr>
        <w:contextualSpacing/>
        <w:rPr>
          <w:rFonts w:eastAsiaTheme="minorEastAsia"/>
          <w:lang w:val="zh-TW" w:eastAsia="zh-CN"/>
        </w:rPr>
      </w:pPr>
      <w:r>
        <w:rPr>
          <w:rFonts w:eastAsiaTheme="minorEastAsia"/>
          <w:lang w:val="zh-TW" w:eastAsia="zh-CN"/>
        </w:rPr>
        <w:t>完全禁欲。不允许采用定期禁欲法（如日历法、排卵期法、症状</w:t>
      </w:r>
      <w:r>
        <w:rPr>
          <w:rFonts w:eastAsiaTheme="minorEastAsia"/>
          <w:lang w:eastAsia="zh-CN"/>
        </w:rPr>
        <w:t>-</w:t>
      </w:r>
      <w:r>
        <w:rPr>
          <w:rFonts w:eastAsiaTheme="minorEastAsia"/>
          <w:lang w:val="zh-TW" w:eastAsia="zh-CN"/>
        </w:rPr>
        <w:t>体温法、排卵后法）。</w:t>
      </w:r>
    </w:p>
    <w:p>
      <w:pPr>
        <w:contextualSpacing/>
        <w:rPr>
          <w:rFonts w:eastAsiaTheme="minorEastAsia"/>
          <w:lang w:val="zh-TW" w:eastAsia="zh-TW"/>
        </w:rPr>
      </w:pPr>
      <w:r>
        <w:rPr>
          <w:rFonts w:eastAsiaTheme="minorEastAsia"/>
          <w:lang w:val="zh-TW" w:eastAsia="zh-TW"/>
        </w:rPr>
        <w:t>或男性正确使用避孕套。</w:t>
      </w:r>
    </w:p>
    <w:p>
      <w:pPr>
        <w:contextualSpacing/>
        <w:rPr>
          <w:rFonts w:eastAsiaTheme="minorEastAsia"/>
          <w:lang w:val="zh-TW" w:eastAsia="zh-TW"/>
        </w:rPr>
      </w:pPr>
      <w:r>
        <w:rPr>
          <w:rFonts w:eastAsiaTheme="minorEastAsia"/>
          <w:lang w:val="zh-TW" w:eastAsia="zh-TW"/>
        </w:rPr>
        <w:t>或正确使用以下列出的避孕方法之一：</w:t>
      </w:r>
    </w:p>
    <w:p>
      <w:pPr>
        <w:contextualSpacing/>
        <w:rPr>
          <w:rFonts w:eastAsiaTheme="minorEastAsia"/>
          <w:lang w:eastAsia="zh-CN"/>
        </w:rPr>
      </w:pPr>
      <w:r>
        <w:rPr>
          <w:rFonts w:eastAsiaTheme="minorEastAsia"/>
          <w:lang w:eastAsia="zh-CN"/>
        </w:rPr>
        <w:t xml:space="preserve">— </w:t>
      </w:r>
      <w:r>
        <w:rPr>
          <w:rFonts w:eastAsiaTheme="minorEastAsia"/>
          <w:lang w:val="zh-TW" w:eastAsia="zh-CN"/>
        </w:rPr>
        <w:t>每年失效率</w:t>
      </w:r>
      <w:r>
        <w:rPr>
          <w:rFonts w:eastAsiaTheme="minorEastAsia"/>
          <w:lang w:eastAsia="zh-CN"/>
        </w:rPr>
        <w:t>&lt;1%</w:t>
      </w:r>
      <w:r>
        <w:rPr>
          <w:rFonts w:eastAsiaTheme="minorEastAsia"/>
          <w:lang w:val="zh-TW" w:eastAsia="zh-CN"/>
        </w:rPr>
        <w:t>的宫内节育器</w:t>
      </w:r>
      <w:r>
        <w:rPr>
          <w:rFonts w:eastAsiaTheme="minorEastAsia"/>
          <w:lang w:eastAsia="zh-CN"/>
        </w:rPr>
        <w:t>（IUD）</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女性阻隔法：具有杀精剂的宫颈帽或子宫帽</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输卵管绝育术</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男性进行输精管结扎术</w:t>
      </w:r>
    </w:p>
    <w:p>
      <w:pPr>
        <w:numPr>
          <w:ilvl w:val="0"/>
          <w:numId w:val="39"/>
        </w:numPr>
        <w:contextualSpacing/>
        <w:rPr>
          <w:rFonts w:eastAsiaTheme="minorEastAsia"/>
          <w:lang w:val="zh-TW" w:eastAsia="zh-CN"/>
        </w:rPr>
      </w:pPr>
      <w:r>
        <w:rPr>
          <w:rFonts w:eastAsiaTheme="minorEastAsia"/>
          <w:lang w:val="zh-TW" w:eastAsia="zh-CN"/>
        </w:rPr>
        <w:t>研究结束后</w:t>
      </w:r>
      <w:r>
        <w:rPr>
          <w:rFonts w:hint="eastAsia" w:eastAsiaTheme="minorEastAsia"/>
          <w:lang w:eastAsia="zh-CN"/>
        </w:rPr>
        <w:t>3个月</w:t>
      </w:r>
      <w:r>
        <w:rPr>
          <w:rFonts w:eastAsiaTheme="minorEastAsia"/>
          <w:lang w:val="zh-TW" w:eastAsia="zh-CN"/>
        </w:rPr>
        <w:t>内受试者或其伴侣除可采取以上避孕措施外，还可采取以下避孕</w:t>
      </w:r>
    </w:p>
    <w:p>
      <w:pPr>
        <w:numPr>
          <w:ilvl w:val="0"/>
          <w:numId w:val="0"/>
        </w:numPr>
        <w:ind w:leftChars="0"/>
        <w:contextualSpacing/>
        <w:rPr>
          <w:rFonts w:eastAsiaTheme="minorEastAsia"/>
          <w:lang w:val="zh-TW" w:eastAsia="zh-CN"/>
        </w:rPr>
      </w:pPr>
      <w:r>
        <w:rPr>
          <w:rFonts w:eastAsiaTheme="minorEastAsia"/>
          <w:lang w:val="zh-TW" w:eastAsia="zh-CN"/>
        </w:rPr>
        <w:t>措施：</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含激素类避孕药</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左旋炔诺孕酮埋植剂</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注射孕酮</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口服避孕药（联合用药或单独服用孕酮）</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阴道避孕环</w:t>
      </w:r>
    </w:p>
    <w:p>
      <w:pPr>
        <w:contextualSpacing/>
        <w:rPr>
          <w:rFonts w:eastAsiaTheme="minorEastAsia"/>
          <w:lang w:val="zh-TW" w:eastAsia="zh-CN"/>
        </w:rPr>
      </w:pPr>
      <w:r>
        <w:rPr>
          <w:rFonts w:eastAsiaTheme="minorEastAsia"/>
          <w:lang w:eastAsia="zh-CN"/>
        </w:rPr>
        <w:t xml:space="preserve">— </w:t>
      </w:r>
      <w:r>
        <w:rPr>
          <w:rFonts w:eastAsiaTheme="minorEastAsia"/>
          <w:lang w:val="zh-TW" w:eastAsia="zh-CN"/>
        </w:rPr>
        <w:t>透皮避孕贴片</w:t>
      </w:r>
    </w:p>
    <w:p>
      <w:pPr>
        <w:contextualSpacing/>
        <w:rPr>
          <w:rFonts w:eastAsiaTheme="minorEastAsia"/>
          <w:lang w:val="zh-TW" w:eastAsia="zh-CN"/>
        </w:rPr>
      </w:pPr>
      <w:r>
        <w:rPr>
          <w:rFonts w:eastAsiaTheme="minorEastAsia"/>
          <w:lang w:eastAsia="zh-CN"/>
        </w:rPr>
        <w:t xml:space="preserve">3. </w:t>
      </w:r>
      <w:r>
        <w:rPr>
          <w:rFonts w:eastAsiaTheme="minorEastAsia"/>
          <w:lang w:val="zh-TW" w:eastAsia="zh-CN"/>
        </w:rPr>
        <w:t>受试者必须同意在试验期间至结束后</w:t>
      </w:r>
      <w:r>
        <w:rPr>
          <w:rFonts w:hint="eastAsia" w:eastAsiaTheme="minorEastAsia"/>
          <w:lang w:eastAsia="zh-CN"/>
        </w:rPr>
        <w:t>3个月</w:t>
      </w:r>
      <w:r>
        <w:rPr>
          <w:rFonts w:eastAsiaTheme="minorEastAsia"/>
          <w:lang w:val="zh-TW" w:eastAsia="zh-CN"/>
        </w:rPr>
        <w:t>内，避免捐精或捐卵。</w:t>
      </w:r>
    </w:p>
    <w:p>
      <w:pPr>
        <w:contextualSpacing/>
        <w:rPr>
          <w:rFonts w:eastAsiaTheme="minorEastAsia"/>
          <w:lang w:val="zh-TW" w:eastAsia="zh-CN"/>
        </w:rPr>
      </w:pPr>
      <w:r>
        <w:rPr>
          <w:rFonts w:eastAsiaTheme="minorEastAsia"/>
          <w:lang w:eastAsia="zh-CN"/>
        </w:rPr>
        <w:t xml:space="preserve">4. </w:t>
      </w:r>
      <w:r>
        <w:rPr>
          <w:rFonts w:eastAsiaTheme="minorEastAsia"/>
          <w:lang w:val="zh-TW" w:eastAsia="zh-CN"/>
        </w:rPr>
        <w:t>在怀孕的情况下应当遵循的程序</w:t>
      </w:r>
    </w:p>
    <w:p>
      <w:pPr>
        <w:contextualSpacing/>
        <w:rPr>
          <w:rFonts w:eastAsiaTheme="minorEastAsia"/>
          <w:lang w:val="zh-TW" w:eastAsia="zh-CN"/>
        </w:rPr>
      </w:pPr>
      <w:r>
        <w:rPr>
          <w:rFonts w:eastAsiaTheme="minorEastAsia"/>
          <w:lang w:val="zh-TW" w:eastAsia="zh-CN"/>
        </w:rPr>
        <w:t>如果受试者或其伴侣在研究期间的任何时间怀孕，受试者将按照要求通知研究者。</w:t>
      </w:r>
    </w:p>
    <w:p>
      <w:pPr>
        <w:pStyle w:val="2"/>
        <w:keepNext w:val="0"/>
        <w:keepLines w:val="0"/>
        <w:autoSpaceDE w:val="0"/>
        <w:autoSpaceDN w:val="0"/>
        <w:adjustRightInd w:val="0"/>
        <w:spacing w:line="360" w:lineRule="auto"/>
        <w:ind w:left="0" w:firstLine="0"/>
        <w:contextualSpacing/>
        <w:rPr>
          <w:rFonts w:ascii="Times New Roman" w:hAnsi="Times New Roman" w:eastAsiaTheme="minorEastAsia"/>
          <w:color w:val="auto"/>
          <w:sz w:val="24"/>
          <w:szCs w:val="24"/>
          <w:lang w:val="zh-TW" w:eastAsia="zh-TW"/>
        </w:rPr>
      </w:pPr>
      <w:r>
        <w:rPr>
          <w:rFonts w:ascii="Times New Roman" w:hAnsi="Times New Roman" w:eastAsiaTheme="minorEastAsia"/>
          <w:lang w:eastAsia="zh-TW"/>
        </w:rPr>
        <w:br w:type="page"/>
      </w:r>
      <w:bookmarkStart w:id="463" w:name="_Toc446058208"/>
      <w:bookmarkStart w:id="464" w:name="_Toc460952539"/>
      <w:bookmarkStart w:id="465" w:name="_Toc447001494"/>
      <w:bookmarkStart w:id="466" w:name="_Toc449282057"/>
      <w:bookmarkStart w:id="467" w:name="_Toc521584627"/>
      <w:bookmarkStart w:id="468" w:name="_Toc10634"/>
      <w:r>
        <w:rPr>
          <w:rFonts w:ascii="Times New Roman" w:hAnsi="Times New Roman" w:eastAsiaTheme="minorEastAsia"/>
          <w:color w:val="auto"/>
          <w:sz w:val="24"/>
          <w:szCs w:val="24"/>
          <w:lang w:val="zh-TW" w:eastAsia="zh-TW"/>
        </w:rPr>
        <w:t>附录</w:t>
      </w:r>
      <w:r>
        <w:rPr>
          <w:rFonts w:ascii="Times New Roman" w:hAnsi="Times New Roman" w:eastAsiaTheme="minorEastAsia"/>
          <w:color w:val="auto"/>
          <w:sz w:val="24"/>
          <w:szCs w:val="24"/>
          <w:lang w:eastAsia="zh-CN"/>
        </w:rPr>
        <w:t>3</w:t>
      </w:r>
      <w:r>
        <w:rPr>
          <w:rFonts w:ascii="Times New Roman" w:hAnsi="Times New Roman" w:eastAsiaTheme="minorEastAsia"/>
          <w:color w:val="auto"/>
          <w:sz w:val="24"/>
          <w:szCs w:val="24"/>
          <w:lang w:val="zh-TW" w:eastAsia="zh-TW"/>
        </w:rPr>
        <w:t>：临床和实验室不良事件的处理</w:t>
      </w:r>
      <w:bookmarkEnd w:id="463"/>
      <w:bookmarkEnd w:id="464"/>
      <w:bookmarkEnd w:id="465"/>
      <w:bookmarkEnd w:id="466"/>
      <w:bookmarkEnd w:id="467"/>
      <w:bookmarkEnd w:id="468"/>
    </w:p>
    <w:p>
      <w:pPr>
        <w:widowControl w:val="0"/>
        <w:autoSpaceDE w:val="0"/>
        <w:autoSpaceDN w:val="0"/>
        <w:adjustRightInd w:val="0"/>
        <w:ind w:left="0" w:firstLine="0"/>
        <w:contextualSpacing/>
        <w:jc w:val="left"/>
        <w:rPr>
          <w:rFonts w:eastAsiaTheme="minorEastAsia"/>
        </w:rPr>
      </w:pPr>
      <w:r>
        <w:rPr>
          <w:rFonts w:eastAsiaTheme="minorEastAsia"/>
          <w:lang w:eastAsia="zh-CN"/>
        </w:rPr>
        <w:drawing>
          <wp:inline distT="0" distB="0" distL="0" distR="0">
            <wp:extent cx="5724525" cy="4762500"/>
            <wp:effectExtent l="0" t="0" r="9525" b="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noChangeArrowheads="1"/>
                    </pic:cNvPicPr>
                  </pic:nvPicPr>
                  <pic:blipFill>
                    <a:blip r:embed="rId18" cstate="print">
                      <a:extLst>
                        <a:ext uri="{28A0092B-C50C-407E-A947-70E740481C1C}">
                          <a14:useLocalDpi xmlns:a14="http://schemas.microsoft.com/office/drawing/2010/main" val="0"/>
                        </a:ext>
                      </a:extLst>
                    </a:blip>
                    <a:srcRect r="5119"/>
                    <a:stretch>
                      <a:fillRect/>
                    </a:stretch>
                  </pic:blipFill>
                  <pic:spPr>
                    <a:xfrm>
                      <a:off x="0" y="0"/>
                      <a:ext cx="5724525" cy="4762500"/>
                    </a:xfrm>
                    <a:prstGeom prst="rect">
                      <a:avLst/>
                    </a:prstGeom>
                    <a:noFill/>
                    <a:ln>
                      <a:noFill/>
                    </a:ln>
                  </pic:spPr>
                </pic:pic>
              </a:graphicData>
            </a:graphic>
          </wp:inline>
        </w:drawing>
      </w:r>
    </w:p>
    <w:p>
      <w:pPr>
        <w:spacing w:line="240" w:lineRule="auto"/>
        <w:ind w:left="0" w:firstLine="0"/>
        <w:jc w:val="left"/>
        <w:rPr>
          <w:rFonts w:eastAsiaTheme="minorEastAsia"/>
          <w:lang w:eastAsia="zh-CN"/>
        </w:rPr>
      </w:pPr>
      <w:bookmarkStart w:id="469" w:name="_Toc447001491"/>
      <w:bookmarkStart w:id="470" w:name="_Toc446058205"/>
      <w:bookmarkStart w:id="471" w:name="_Toc453914041"/>
      <w:bookmarkStart w:id="472" w:name="OLE_LINK47"/>
      <w:r>
        <w:rPr>
          <w:rFonts w:eastAsiaTheme="minorEastAsia"/>
          <w:b/>
          <w:bCs/>
          <w:lang w:eastAsia="zh-CN"/>
        </w:rPr>
        <w:br w:type="page"/>
      </w:r>
    </w:p>
    <w:p>
      <w:pPr>
        <w:pStyle w:val="2"/>
        <w:pageBreakBefore/>
        <w:contextualSpacing/>
        <w:rPr>
          <w:rFonts w:ascii="Times New Roman" w:hAnsi="Times New Roman" w:eastAsiaTheme="minorEastAsia"/>
          <w:color w:val="auto"/>
          <w:sz w:val="24"/>
          <w:szCs w:val="24"/>
          <w:lang w:eastAsia="zh-CN"/>
        </w:rPr>
      </w:pPr>
      <w:bookmarkStart w:id="473" w:name="_Toc521584628"/>
      <w:bookmarkStart w:id="474" w:name="_Toc2202"/>
      <w:r>
        <w:rPr>
          <w:rFonts w:ascii="Times New Roman" w:hAnsi="Times New Roman" w:eastAsiaTheme="minorEastAsia"/>
          <w:color w:val="auto"/>
          <w:sz w:val="24"/>
          <w:szCs w:val="24"/>
          <w:lang w:val="zh-TW" w:eastAsia="zh-TW"/>
        </w:rPr>
        <w:t>附录4：过敏性休克处理参考预案</w:t>
      </w:r>
      <w:bookmarkEnd w:id="469"/>
      <w:bookmarkEnd w:id="470"/>
      <w:bookmarkEnd w:id="471"/>
      <w:bookmarkEnd w:id="473"/>
      <w:bookmarkEnd w:id="474"/>
    </w:p>
    <w:bookmarkEnd w:id="472"/>
    <w:p>
      <w:pPr>
        <w:ind w:left="0" w:firstLine="357"/>
        <w:contextualSpacing/>
        <w:rPr>
          <w:rFonts w:eastAsiaTheme="minorEastAsia"/>
          <w:lang w:val="zh-TW" w:eastAsia="zh-TW"/>
        </w:rPr>
      </w:pPr>
      <w:r>
        <w:rPr>
          <w:rFonts w:eastAsiaTheme="minorEastAsia"/>
          <w:lang w:val="zh-TW" w:eastAsia="zh-TW"/>
        </w:rPr>
        <w:t>过敏性休克</w:t>
      </w:r>
      <w:r>
        <w:rPr>
          <w:rFonts w:eastAsiaTheme="minorEastAsia"/>
          <w:lang w:eastAsia="zh-CN"/>
        </w:rPr>
        <w:t>（anaphylactic shock）</w:t>
      </w:r>
      <w:r>
        <w:rPr>
          <w:rFonts w:eastAsiaTheme="minorEastAsia"/>
          <w:lang w:val="zh-TW" w:eastAsia="zh-TW"/>
        </w:rPr>
        <w:t>是由于抗原物质（如药物、异性蛋白、动植物）进入人体后与相应的抗体相互作用、能激发引起广泛的</w:t>
      </w:r>
      <w:r>
        <w:rPr>
          <w:rFonts w:eastAsiaTheme="minorEastAsia"/>
          <w:lang w:eastAsia="zh-CN"/>
        </w:rPr>
        <w:t>Ⅰ</w:t>
      </w:r>
      <w:r>
        <w:rPr>
          <w:rFonts w:eastAsiaTheme="minorEastAsia"/>
          <w:lang w:val="zh-TW" w:eastAsia="zh-TW"/>
        </w:rPr>
        <w:t>型变态反应、使组织释放组织胺、缓激肽、</w:t>
      </w:r>
      <w:r>
        <w:rPr>
          <w:rFonts w:eastAsiaTheme="minorEastAsia"/>
          <w:lang w:eastAsia="zh-CN"/>
        </w:rPr>
        <w:t>5-</w:t>
      </w:r>
      <w:r>
        <w:rPr>
          <w:rFonts w:eastAsiaTheme="minorEastAsia"/>
          <w:lang w:val="zh-TW" w:eastAsia="zh-TW"/>
        </w:rPr>
        <w:t>羟色胺和血小板激活因子等、导致全身性毛细血管扩张和通透性增加、血浆迅速内渗到组织间隙、循环血量急剧下降引起休克、须当机立断、不失时机积极治疗。其处理如下：</w:t>
      </w:r>
    </w:p>
    <w:p>
      <w:pPr>
        <w:contextualSpacing/>
        <w:rPr>
          <w:rFonts w:eastAsiaTheme="minorEastAsia"/>
          <w:lang w:val="zh-TW" w:eastAsia="zh-TW"/>
        </w:rPr>
      </w:pPr>
      <w:r>
        <w:rPr>
          <w:rFonts w:eastAsiaTheme="minorEastAsia"/>
          <w:lang w:eastAsia="zh-CN"/>
        </w:rPr>
        <w:t>（1）</w:t>
      </w:r>
      <w:r>
        <w:rPr>
          <w:rFonts w:eastAsiaTheme="minorEastAsia"/>
          <w:lang w:val="zh-TW" w:eastAsia="zh-TW"/>
        </w:rPr>
        <w:t>立即停用或清除引起过敏反应的物质。如已进入人体、则尽量减慢其弥散速度、由于皮肤试验引起的、用止血带结扎注射部位的上臂。</w:t>
      </w:r>
    </w:p>
    <w:p>
      <w:pPr>
        <w:contextualSpacing/>
        <w:rPr>
          <w:rFonts w:eastAsiaTheme="minorEastAsia"/>
          <w:lang w:val="zh-TW" w:eastAsia="zh-TW"/>
        </w:rPr>
      </w:pPr>
      <w:r>
        <w:rPr>
          <w:rFonts w:eastAsiaTheme="minorEastAsia"/>
          <w:lang w:eastAsia="zh-CN"/>
        </w:rPr>
        <w:t>（2）</w:t>
      </w:r>
      <w:r>
        <w:rPr>
          <w:rFonts w:eastAsiaTheme="minorEastAsia"/>
          <w:lang w:val="zh-TW" w:eastAsia="zh-TW"/>
        </w:rPr>
        <w:t>肾上腺素：立即肌肉注射肾上腺素、最好在原来注射药物的部位注射、以减缓致敏药物的扩散。</w:t>
      </w:r>
    </w:p>
    <w:p>
      <w:pPr>
        <w:ind w:left="600" w:leftChars="250" w:firstLine="480" w:firstLineChars="200"/>
        <w:contextualSpacing/>
        <w:rPr>
          <w:rFonts w:eastAsiaTheme="minorEastAsia"/>
          <w:lang w:val="zh-TW" w:eastAsia="zh-TW"/>
        </w:rPr>
      </w:pPr>
      <w:r>
        <w:rPr>
          <w:rFonts w:eastAsiaTheme="minorEastAsia"/>
          <w:lang w:val="zh-TW" w:eastAsia="zh-TW"/>
        </w:rPr>
        <w:t>肾上腺素用量：立即皮下或肌肉注射</w:t>
      </w:r>
      <w:r>
        <w:rPr>
          <w:rFonts w:eastAsiaTheme="minorEastAsia"/>
          <w:lang w:eastAsia="zh-CN"/>
        </w:rPr>
        <w:t>0.1%</w:t>
      </w:r>
      <w:r>
        <w:rPr>
          <w:rFonts w:eastAsiaTheme="minorEastAsia"/>
          <w:lang w:val="zh-TW" w:eastAsia="zh-TW"/>
        </w:rPr>
        <w:t>肾上腺素、成人每次</w:t>
      </w:r>
      <w:r>
        <w:rPr>
          <w:rFonts w:eastAsiaTheme="minorEastAsia"/>
          <w:lang w:eastAsia="zh-CN"/>
        </w:rPr>
        <w:t>0.5-1.0ml</w:t>
      </w:r>
      <w:r>
        <w:rPr>
          <w:rFonts w:eastAsiaTheme="minorEastAsia"/>
          <w:lang w:val="zh-TW" w:eastAsia="zh-TW"/>
        </w:rPr>
        <w:t>、小儿每次</w:t>
      </w:r>
      <w:r>
        <w:rPr>
          <w:rFonts w:eastAsiaTheme="minorEastAsia"/>
          <w:lang w:eastAsia="zh-CN"/>
        </w:rPr>
        <w:t>0.02-</w:t>
      </w:r>
      <w:r>
        <w:rPr>
          <w:rFonts w:hint="eastAsia" w:eastAsiaTheme="minorEastAsia"/>
          <w:lang w:eastAsia="zh-CN"/>
        </w:rPr>
        <w:t>XX</w:t>
      </w:r>
      <w:r>
        <w:rPr>
          <w:rFonts w:eastAsiaTheme="minorEastAsia"/>
          <w:lang w:eastAsia="zh-CN"/>
        </w:rPr>
        <w:t>ml/kg</w:t>
      </w:r>
      <w:r>
        <w:rPr>
          <w:rFonts w:eastAsiaTheme="minorEastAsia"/>
          <w:lang w:val="zh-TW" w:eastAsia="zh-TW"/>
        </w:rPr>
        <w:t>、严重病例可用肌注量的</w:t>
      </w:r>
      <w:r>
        <w:rPr>
          <w:rFonts w:eastAsiaTheme="minorEastAsia"/>
          <w:lang w:eastAsia="zh-CN"/>
        </w:rPr>
        <w:t>1/2-1/3</w:t>
      </w:r>
      <w:r>
        <w:rPr>
          <w:rFonts w:eastAsiaTheme="minorEastAsia"/>
          <w:lang w:val="zh-TW" w:eastAsia="zh-TW"/>
        </w:rPr>
        <w:t>、稀释于</w:t>
      </w:r>
      <w:r>
        <w:rPr>
          <w:rFonts w:eastAsiaTheme="minorEastAsia"/>
          <w:lang w:eastAsia="zh-CN"/>
        </w:rPr>
        <w:t>50%</w:t>
      </w:r>
      <w:r>
        <w:rPr>
          <w:rFonts w:eastAsiaTheme="minorEastAsia"/>
          <w:lang w:val="zh-TW" w:eastAsia="zh-TW"/>
        </w:rPr>
        <w:t>葡萄糖溶液</w:t>
      </w:r>
      <w:r>
        <w:rPr>
          <w:rFonts w:eastAsiaTheme="minorEastAsia"/>
          <w:lang w:eastAsia="zh-CN"/>
        </w:rPr>
        <w:t>40-50ml</w:t>
      </w:r>
      <w:r>
        <w:rPr>
          <w:rFonts w:eastAsiaTheme="minorEastAsia"/>
          <w:lang w:val="zh-TW" w:eastAsia="zh-TW"/>
        </w:rPr>
        <w:t>中静注。如心跳停止、可用</w:t>
      </w:r>
      <w:r>
        <w:rPr>
          <w:rFonts w:eastAsiaTheme="minorEastAsia"/>
          <w:lang w:eastAsia="zh-CN"/>
        </w:rPr>
        <w:t>0.1%</w:t>
      </w:r>
      <w:r>
        <w:rPr>
          <w:rFonts w:eastAsiaTheme="minorEastAsia"/>
          <w:lang w:val="zh-TW" w:eastAsia="zh-TW"/>
        </w:rPr>
        <w:t>肾上腺素</w:t>
      </w:r>
      <w:r>
        <w:rPr>
          <w:rFonts w:eastAsiaTheme="minorEastAsia"/>
          <w:lang w:eastAsia="zh-CN"/>
        </w:rPr>
        <w:t>1ml</w:t>
      </w:r>
      <w:r>
        <w:rPr>
          <w:rFonts w:eastAsiaTheme="minorEastAsia"/>
          <w:lang w:val="zh-TW" w:eastAsia="zh-TW"/>
        </w:rPr>
        <w:t>、直接作心内注射、并进行胸外心脏按压。肾上腺素作用短暂、如注射首剂量后不见效、可于</w:t>
      </w:r>
      <w:r>
        <w:rPr>
          <w:rFonts w:eastAsiaTheme="minorEastAsia"/>
          <w:lang w:eastAsia="zh-CN"/>
        </w:rPr>
        <w:t>10-15</w:t>
      </w:r>
      <w:r>
        <w:rPr>
          <w:rFonts w:eastAsiaTheme="minorEastAsia"/>
          <w:lang w:val="zh-TW" w:eastAsia="zh-TW"/>
        </w:rPr>
        <w:t>分钟后重复注射、亦可以</w:t>
      </w:r>
      <w:r>
        <w:rPr>
          <w:rFonts w:eastAsiaTheme="minorEastAsia"/>
          <w:lang w:eastAsia="zh-CN"/>
        </w:rPr>
        <w:t>1-2mg</w:t>
      </w:r>
      <w:r>
        <w:rPr>
          <w:rFonts w:eastAsiaTheme="minorEastAsia"/>
          <w:lang w:val="zh-TW" w:eastAsia="zh-TW"/>
        </w:rPr>
        <w:t>加入</w:t>
      </w:r>
      <w:r>
        <w:rPr>
          <w:rFonts w:eastAsiaTheme="minorEastAsia"/>
          <w:lang w:eastAsia="zh-CN"/>
        </w:rPr>
        <w:t>5%</w:t>
      </w:r>
      <w:r>
        <w:rPr>
          <w:rFonts w:eastAsiaTheme="minorEastAsia"/>
          <w:lang w:val="zh-TW" w:eastAsia="zh-TW"/>
        </w:rPr>
        <w:t>葡萄糖</w:t>
      </w:r>
      <w:r>
        <w:rPr>
          <w:rFonts w:eastAsiaTheme="minorEastAsia"/>
          <w:lang w:eastAsia="zh-CN"/>
        </w:rPr>
        <w:t>100-200ml</w:t>
      </w:r>
      <w:r>
        <w:rPr>
          <w:rFonts w:eastAsiaTheme="minorEastAsia"/>
          <w:lang w:val="zh-TW" w:eastAsia="zh-TW"/>
        </w:rPr>
        <w:t>中静脉缓慢滴入；</w:t>
      </w:r>
    </w:p>
    <w:p>
      <w:pPr>
        <w:contextualSpacing/>
        <w:rPr>
          <w:rFonts w:eastAsiaTheme="minorEastAsia"/>
          <w:lang w:val="zh-TW" w:eastAsia="zh-TW"/>
        </w:rPr>
      </w:pPr>
      <w:r>
        <w:rPr>
          <w:rFonts w:eastAsiaTheme="minorEastAsia"/>
          <w:lang w:eastAsia="zh-CN"/>
        </w:rPr>
        <w:t>（3）</w:t>
      </w:r>
      <w:r>
        <w:rPr>
          <w:rFonts w:eastAsiaTheme="minorEastAsia"/>
          <w:lang w:val="zh-TW" w:eastAsia="zh-TW"/>
        </w:rPr>
        <w:t>肾上腺皮质激素：成人可予氢化可的松</w:t>
      </w:r>
      <w:r>
        <w:rPr>
          <w:rFonts w:eastAsiaTheme="minorEastAsia"/>
          <w:lang w:eastAsia="zh-CN"/>
        </w:rPr>
        <w:t>100-300mg</w:t>
      </w:r>
      <w:r>
        <w:rPr>
          <w:rFonts w:eastAsiaTheme="minorEastAsia"/>
          <w:lang w:val="zh-TW" w:eastAsia="zh-TW"/>
        </w:rPr>
        <w:t>加入</w:t>
      </w:r>
      <w:r>
        <w:rPr>
          <w:rFonts w:eastAsiaTheme="minorEastAsia"/>
          <w:lang w:eastAsia="zh-CN"/>
        </w:rPr>
        <w:t>5%</w:t>
      </w:r>
      <w:r>
        <w:rPr>
          <w:rFonts w:eastAsiaTheme="minorEastAsia"/>
          <w:lang w:val="zh-TW" w:eastAsia="zh-TW"/>
        </w:rPr>
        <w:t>葡萄糖</w:t>
      </w:r>
      <w:r>
        <w:rPr>
          <w:rFonts w:eastAsiaTheme="minorEastAsia"/>
          <w:lang w:eastAsia="zh-CN"/>
        </w:rPr>
        <w:t>30-40ml</w:t>
      </w:r>
      <w:r>
        <w:rPr>
          <w:rFonts w:eastAsiaTheme="minorEastAsia"/>
          <w:lang w:val="zh-TW" w:eastAsia="zh-TW"/>
        </w:rPr>
        <w:t>静脉推注。或相当量的地塞米松</w:t>
      </w:r>
      <w:r>
        <w:rPr>
          <w:rFonts w:eastAsiaTheme="minorEastAsia"/>
          <w:lang w:eastAsia="zh-CN"/>
        </w:rPr>
        <w:t>5-7</w:t>
      </w:r>
      <w:r>
        <w:rPr>
          <w:rFonts w:hint="eastAsia" w:eastAsiaTheme="minorEastAsia"/>
          <w:lang w:eastAsia="zh-CN"/>
        </w:rPr>
        <w:t>XX</w:t>
      </w:r>
      <w:r>
        <w:rPr>
          <w:rFonts w:eastAsiaTheme="minorEastAsia"/>
          <w:lang w:eastAsia="zh-CN"/>
        </w:rPr>
        <w:t>g</w:t>
      </w:r>
      <w:r>
        <w:rPr>
          <w:rFonts w:eastAsiaTheme="minorEastAsia"/>
          <w:lang w:val="zh-TW" w:eastAsia="zh-TW"/>
        </w:rPr>
        <w:t>加入</w:t>
      </w:r>
      <w:r>
        <w:rPr>
          <w:rFonts w:eastAsiaTheme="minorEastAsia"/>
          <w:lang w:eastAsia="zh-CN"/>
        </w:rPr>
        <w:t>5%</w:t>
      </w:r>
      <w:r>
        <w:rPr>
          <w:rFonts w:eastAsiaTheme="minorEastAsia"/>
          <w:lang w:val="zh-TW" w:eastAsia="zh-TW"/>
        </w:rPr>
        <w:t>葡萄糖</w:t>
      </w:r>
      <w:r>
        <w:rPr>
          <w:rFonts w:eastAsiaTheme="minorEastAsia"/>
          <w:lang w:eastAsia="zh-CN"/>
        </w:rPr>
        <w:t>20-40ml</w:t>
      </w:r>
      <w:r>
        <w:rPr>
          <w:rFonts w:eastAsiaTheme="minorEastAsia"/>
          <w:lang w:val="zh-TW" w:eastAsia="zh-TW"/>
        </w:rPr>
        <w:t>静脉推注。必要时隔</w:t>
      </w:r>
      <w:r>
        <w:rPr>
          <w:rFonts w:eastAsiaTheme="minorEastAsia"/>
          <w:lang w:eastAsia="zh-CN"/>
        </w:rPr>
        <w:t>1-3</w:t>
      </w:r>
      <w:r>
        <w:rPr>
          <w:rFonts w:eastAsiaTheme="minorEastAsia"/>
          <w:lang w:val="zh-TW" w:eastAsia="zh-TW"/>
        </w:rPr>
        <w:t>小时重复注射。</w:t>
      </w:r>
    </w:p>
    <w:p>
      <w:pPr>
        <w:contextualSpacing/>
        <w:rPr>
          <w:rFonts w:eastAsiaTheme="minorEastAsia"/>
          <w:lang w:val="zh-TW" w:eastAsia="zh-TW"/>
        </w:rPr>
      </w:pPr>
      <w:r>
        <w:rPr>
          <w:rFonts w:eastAsiaTheme="minorEastAsia"/>
          <w:lang w:eastAsia="zh-CN"/>
        </w:rPr>
        <w:t>（4）</w:t>
      </w:r>
      <w:r>
        <w:rPr>
          <w:rFonts w:eastAsiaTheme="minorEastAsia"/>
          <w:lang w:val="zh-TW" w:eastAsia="zh-TW"/>
        </w:rPr>
        <w:t>补足血容量恢复和维持足够的血容量是抢救过敏性休克重要的环节。一般应用</w:t>
      </w:r>
      <w:r>
        <w:rPr>
          <w:rFonts w:eastAsiaTheme="minorEastAsia"/>
          <w:lang w:eastAsia="zh-CN"/>
        </w:rPr>
        <w:t>5%</w:t>
      </w:r>
      <w:r>
        <w:rPr>
          <w:rFonts w:eastAsiaTheme="minorEastAsia"/>
          <w:lang w:val="zh-TW" w:eastAsia="zh-TW"/>
        </w:rPr>
        <w:t>葡萄糖生理盐水静滴、既可使患者得到适当的体液与热量、又可保持一条迅速有效的给药途径、亦可输入血浆或人血清白蛋白。可使用血管活性药物。如阿拉明</w:t>
      </w:r>
      <w:r>
        <w:rPr>
          <w:rFonts w:eastAsiaTheme="minorEastAsia"/>
          <w:lang w:eastAsia="zh-CN"/>
        </w:rPr>
        <w:t>50-100mg</w:t>
      </w:r>
      <w:r>
        <w:rPr>
          <w:rFonts w:eastAsiaTheme="minorEastAsia"/>
          <w:lang w:val="zh-TW" w:eastAsia="zh-TW"/>
        </w:rPr>
        <w:t>加入</w:t>
      </w:r>
      <w:r>
        <w:rPr>
          <w:rFonts w:eastAsiaTheme="minorEastAsia"/>
          <w:lang w:eastAsia="zh-CN"/>
        </w:rPr>
        <w:t>5%</w:t>
      </w:r>
      <w:r>
        <w:rPr>
          <w:rFonts w:eastAsiaTheme="minorEastAsia"/>
          <w:lang w:val="zh-TW" w:eastAsia="zh-TW"/>
        </w:rPr>
        <w:t>葡萄糖</w:t>
      </w:r>
      <w:r>
        <w:rPr>
          <w:rFonts w:eastAsiaTheme="minorEastAsia"/>
          <w:lang w:eastAsia="zh-CN"/>
        </w:rPr>
        <w:t>500ml</w:t>
      </w:r>
      <w:r>
        <w:rPr>
          <w:rFonts w:eastAsiaTheme="minorEastAsia"/>
          <w:lang w:val="zh-TW" w:eastAsia="zh-TW"/>
        </w:rPr>
        <w:t>中静滴、必要时与多巴胺联用。成人首日补液量一般可达</w:t>
      </w:r>
      <w:r>
        <w:rPr>
          <w:rFonts w:eastAsiaTheme="minorEastAsia"/>
          <w:lang w:eastAsia="zh-CN"/>
        </w:rPr>
        <w:t>4000ml</w:t>
      </w:r>
      <w:r>
        <w:rPr>
          <w:rFonts w:eastAsiaTheme="minorEastAsia"/>
          <w:lang w:val="zh-TW" w:eastAsia="zh-TW"/>
        </w:rPr>
        <w:t>（视尿量酌情增减）、如果治疗反应不佳、可作中心静脉压（</w:t>
      </w:r>
      <w:r>
        <w:rPr>
          <w:rFonts w:eastAsiaTheme="minorEastAsia"/>
          <w:lang w:eastAsia="zh-CN"/>
        </w:rPr>
        <w:t>CVP</w:t>
      </w:r>
      <w:r>
        <w:rPr>
          <w:rFonts w:eastAsiaTheme="minorEastAsia"/>
          <w:lang w:val="zh-TW" w:eastAsia="zh-TW"/>
        </w:rPr>
        <w:t>）测定、指导治疗。</w:t>
      </w:r>
    </w:p>
    <w:p>
      <w:pPr>
        <w:contextualSpacing/>
        <w:rPr>
          <w:rFonts w:eastAsiaTheme="minorEastAsia"/>
          <w:lang w:val="zh-TW" w:eastAsia="zh-TW"/>
        </w:rPr>
      </w:pPr>
      <w:r>
        <w:rPr>
          <w:rFonts w:eastAsiaTheme="minorEastAsia"/>
          <w:lang w:eastAsia="zh-CN"/>
        </w:rPr>
        <w:t>（5）</w:t>
      </w:r>
      <w:r>
        <w:rPr>
          <w:rFonts w:eastAsiaTheme="minorEastAsia"/>
          <w:lang w:val="zh-TW" w:eastAsia="zh-TW"/>
        </w:rPr>
        <w:t>吸氧和维持呼吸道通畅：如出现喉头水肿阻碍呼吸或出现吸气性呼吸困难时应立即作气管切开。</w:t>
      </w:r>
    </w:p>
    <w:p>
      <w:pPr>
        <w:contextualSpacing/>
        <w:rPr>
          <w:rFonts w:eastAsiaTheme="minorEastAsia"/>
          <w:lang w:val="zh-TW" w:eastAsia="zh-TW"/>
        </w:rPr>
      </w:pPr>
      <w:r>
        <w:rPr>
          <w:rFonts w:eastAsiaTheme="minorEastAsia"/>
          <w:lang w:eastAsia="zh-CN"/>
        </w:rPr>
        <w:t>（6）</w:t>
      </w:r>
      <w:r>
        <w:rPr>
          <w:rFonts w:eastAsiaTheme="minorEastAsia"/>
          <w:lang w:val="zh-TW" w:eastAsia="zh-TW"/>
        </w:rPr>
        <w:t>抗组胺药物：异丙嗪</w:t>
      </w:r>
      <w:r>
        <w:rPr>
          <w:rFonts w:eastAsiaTheme="minorEastAsia"/>
          <w:lang w:eastAsia="zh-CN"/>
        </w:rPr>
        <w:t>25-</w:t>
      </w:r>
      <w:r>
        <w:rPr>
          <w:rFonts w:hint="eastAsia" w:eastAsiaTheme="minorEastAsia"/>
          <w:lang w:eastAsia="zh-CN"/>
        </w:rPr>
        <w:t>XX</w:t>
      </w:r>
      <w:r>
        <w:rPr>
          <w:rFonts w:eastAsiaTheme="minorEastAsia"/>
          <w:lang w:eastAsia="zh-CN"/>
        </w:rPr>
        <w:t>g</w:t>
      </w:r>
      <w:r>
        <w:rPr>
          <w:rFonts w:eastAsiaTheme="minorEastAsia"/>
          <w:lang w:val="zh-TW" w:eastAsia="zh-TW"/>
        </w:rPr>
        <w:t>、肌注；扑尔敏</w:t>
      </w:r>
      <w:r>
        <w:rPr>
          <w:rFonts w:eastAsiaTheme="minorEastAsia"/>
          <w:lang w:eastAsia="zh-CN"/>
        </w:rPr>
        <w:t>4-8mg</w:t>
      </w:r>
      <w:r>
        <w:rPr>
          <w:rFonts w:eastAsiaTheme="minorEastAsia"/>
          <w:lang w:val="zh-TW" w:eastAsia="zh-TW"/>
        </w:rPr>
        <w:t>、口服；苯海拉明</w:t>
      </w:r>
      <w:r>
        <w:rPr>
          <w:rFonts w:eastAsiaTheme="minorEastAsia"/>
          <w:lang w:eastAsia="zh-CN"/>
        </w:rPr>
        <w:t>25-</w:t>
      </w:r>
      <w:r>
        <w:rPr>
          <w:rFonts w:hint="eastAsia" w:eastAsiaTheme="minorEastAsia"/>
          <w:lang w:eastAsia="zh-CN"/>
        </w:rPr>
        <w:t>XX</w:t>
      </w:r>
      <w:r>
        <w:rPr>
          <w:rFonts w:eastAsiaTheme="minorEastAsia"/>
          <w:lang w:eastAsia="zh-CN"/>
        </w:rPr>
        <w:t>g</w:t>
      </w:r>
      <w:r>
        <w:rPr>
          <w:rFonts w:eastAsiaTheme="minorEastAsia"/>
          <w:lang w:val="zh-TW" w:eastAsia="zh-TW"/>
        </w:rPr>
        <w:t>、口服。</w:t>
      </w:r>
    </w:p>
    <w:p>
      <w:pPr>
        <w:ind w:left="680" w:hanging="680"/>
        <w:contextualSpacing/>
        <w:rPr>
          <w:rFonts w:eastAsiaTheme="minorEastAsia"/>
          <w:lang w:val="zh-TW" w:eastAsia="zh-TW"/>
        </w:rPr>
      </w:pPr>
      <w:r>
        <w:rPr>
          <w:rFonts w:eastAsiaTheme="minorEastAsia"/>
          <w:lang w:eastAsia="zh-CN"/>
        </w:rPr>
        <w:t>（7）</w:t>
      </w:r>
      <w:r>
        <w:rPr>
          <w:rFonts w:eastAsiaTheme="minorEastAsia"/>
          <w:lang w:val="zh-TW" w:eastAsia="zh-TW"/>
        </w:rPr>
        <w:t>其它治疗方法：急刺人中、双侧内关、合谷、涌泉等穴；加灸百会、气海、神阳。针对不同过敏原采取特殊治疗、例如青霉素、链霉素、庆大霉素等氨基糖甙类过敏反应可用</w:t>
      </w:r>
      <w:r>
        <w:rPr>
          <w:rFonts w:eastAsiaTheme="minorEastAsia"/>
          <w:lang w:eastAsia="zh-CN"/>
        </w:rPr>
        <w:t>10%</w:t>
      </w:r>
      <w:r>
        <w:rPr>
          <w:rFonts w:eastAsiaTheme="minorEastAsia"/>
          <w:lang w:val="zh-TW" w:eastAsia="zh-TW"/>
        </w:rPr>
        <w:t>葡萄糖酸钙</w:t>
      </w:r>
      <w:r>
        <w:rPr>
          <w:rFonts w:eastAsiaTheme="minorEastAsia"/>
          <w:lang w:eastAsia="zh-CN"/>
        </w:rPr>
        <w:t>10-20ml</w:t>
      </w:r>
      <w:r>
        <w:rPr>
          <w:rFonts w:eastAsiaTheme="minorEastAsia"/>
          <w:lang w:val="zh-TW" w:eastAsia="zh-TW"/>
        </w:rPr>
        <w:t>静脉注射。</w:t>
      </w:r>
    </w:p>
    <w:p>
      <w:pPr>
        <w:pStyle w:val="3"/>
        <w:autoSpaceDE w:val="0"/>
        <w:autoSpaceDN w:val="0"/>
        <w:adjustRightInd w:val="0"/>
        <w:ind w:left="0" w:firstLine="0"/>
        <w:contextualSpacing/>
        <w:rPr>
          <w:rFonts w:ascii="Times New Roman" w:hAnsi="Times New Roman" w:cs="Times New Roman" w:eastAsiaTheme="minorEastAsia"/>
        </w:rPr>
      </w:pPr>
    </w:p>
    <w:sectPr>
      <w:footerReference r:id="rId14" w:type="first"/>
      <w:footerReference r:id="rId13" w:type="default"/>
      <w:pgSz w:w="11900" w:h="16840"/>
      <w:pgMar w:top="1440" w:right="1327" w:bottom="1361" w:left="1554" w:header="992" w:footer="1020" w:gutter="0"/>
      <w:pgNumType w:start="1"/>
      <w:cols w:space="720" w:num="1"/>
      <w:titlePg/>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q" w:date="2019-08-16T09:17:20Z" w:initials="q">
    <w:p w14:paraId="6C091739">
      <w:pPr>
        <w:pStyle w:val="8"/>
        <w:rPr>
          <w:rFonts w:hint="eastAsia" w:eastAsia="宋体"/>
          <w:lang w:val="en-US" w:eastAsia="zh-CN"/>
        </w:rPr>
      </w:pPr>
      <w:r>
        <w:rPr>
          <w:rFonts w:hint="eastAsia"/>
          <w:lang w:val="en-US" w:eastAsia="zh-CN"/>
        </w:rPr>
        <w:t>根据药物来描述</w:t>
      </w:r>
    </w:p>
  </w:comment>
  <w:comment w:id="1" w:author="sindy" w:date="2019-01-29T12:07:19Z" w:initials="">
    <w:p w14:paraId="0DEA1562">
      <w:pPr>
        <w:pStyle w:val="8"/>
        <w:rPr>
          <w:rFonts w:hint="eastAsia" w:eastAsia="宋体"/>
          <w:lang w:val="en-US" w:eastAsia="zh-CN"/>
        </w:rPr>
      </w:pPr>
      <w:r>
        <w:rPr>
          <w:rFonts w:hint="eastAsia"/>
          <w:lang w:val="en-US" w:eastAsia="zh-CN"/>
        </w:rPr>
        <w:t>删除了PKCS，请统计确认可否</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091739" w15:done="0"/>
  <w15:commentEx w15:paraId="0DEA156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ＭＳ">
    <w:altName w:val="宋体"/>
    <w:panose1 w:val="00000000000000000000"/>
    <w:charset w:val="86"/>
    <w:family w:val="roman"/>
    <w:pitch w:val="default"/>
    <w:sig w:usb0="00000000" w:usb1="00000000" w:usb2="0000001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eastAsia="宋体"/>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33</w:t>
                          </w:r>
                          <w:r>
                            <w:rPr>
                              <w:color w:val="323E4F"/>
                            </w:rPr>
                            <w:fldChar w:fldCharType="end"/>
                          </w:r>
                          <w:r>
                            <w:rPr>
                              <w:color w:val="323E4F"/>
                              <w:lang w:val="zh-CN"/>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syDgEsQEA&#10;AEgDAAAOAAAAAAAAAAEAIAAAAB4BAABkcnMvZTJvRG9jLnhtbFBLBQYAAAAABgAGAFkBAABBBQAA&#10;AAA=&#10;">
              <v:fill on="f" focussize="0,0"/>
              <v:stroke on="f"/>
              <v:imagedata o:title=""/>
              <o:lock v:ext="edit" aspectratio="f"/>
              <v:textbox inset="0mm,0mm,0mm,0mm" style="mso-fit-shape-to-text:t;">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33</w:t>
                    </w:r>
                    <w:r>
                      <w:rPr>
                        <w:color w:val="323E4F"/>
                      </w:rPr>
                      <w:fldChar w:fldCharType="end"/>
                    </w:r>
                    <w:r>
                      <w:rPr>
                        <w:color w:val="323E4F"/>
                        <w:lang w:val="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222A35"/>
        <w:sz w:val="18"/>
        <w:szCs w:val="18"/>
      </w:rPr>
    </w:pPr>
    <w:r>
      <w:rPr>
        <w:color w:val="8496B0"/>
        <w:sz w:val="18"/>
        <w:szCs w:val="18"/>
        <w:lang w:val="zh-CN"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eastAsia="宋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VI</w:t>
                          </w:r>
                          <w:r>
                            <w:rPr>
                              <w:color w:val="323E4F"/>
                            </w:rPr>
                            <w:fldChar w:fldCharType="end"/>
                          </w:r>
                          <w:r>
                            <w:rPr>
                              <w:color w:val="323E4F"/>
                              <w:lang w:val="zh-CN"/>
                            </w:rPr>
                            <w:t xml:space="preserve"> </w:t>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87ohasQEA&#10;AEgDAAAOAAAAAAAAAAEAIAAAAB4BAABkcnMvZTJvRG9jLnhtbFBLBQYAAAAABgAGAFkBAABBBQAA&#10;AAA=&#10;">
              <v:fill on="f" focussize="0,0"/>
              <v:stroke on="f"/>
              <v:imagedata o:title=""/>
              <o:lock v:ext="edit" aspectratio="f"/>
              <v:textbox inset="0mm,0mm,0mm,0mm" style="mso-fit-shape-to-text:t;">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VI</w:t>
                    </w:r>
                    <w:r>
                      <w:rPr>
                        <w:color w:val="323E4F"/>
                      </w:rPr>
                      <w:fldChar w:fldCharType="end"/>
                    </w:r>
                    <w:r>
                      <w:rPr>
                        <w:color w:val="323E4F"/>
                        <w:lang w:val="zh-CN"/>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eastAsia="宋体"/>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rPr>
                              <w:rFonts w:eastAsia="宋体"/>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AU/dB1sQEA&#10;AEgDAAAOAAAAAAAAAAEAIAAAAB4BAABkcnMvZTJvRG9jLnhtbFBLBQYAAAAABgAGAFkBAABBBQAA&#10;AAA=&#10;">
              <v:fill on="f" focussize="0,0"/>
              <v:stroke on="f"/>
              <v:imagedata o:title=""/>
              <o:lock v:ext="edit" aspectratio="f"/>
              <v:textbox inset="0mm,0mm,0mm,0mm" style="mso-fit-shape-to-text:t;">
                <w:txbxContent>
                  <w:p>
                    <w:pPr>
                      <w:pStyle w:val="16"/>
                      <w:rPr>
                        <w:rFonts w:eastAsia="宋体"/>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eastAsia="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10</w:t>
                          </w:r>
                          <w:r>
                            <w:rPr>
                              <w:color w:val="323E4F"/>
                            </w:rPr>
                            <w:fldChar w:fldCharType="end"/>
                          </w:r>
                          <w:r>
                            <w:rPr>
                              <w:rFonts w:hint="eastAsia" w:eastAsia="宋体"/>
                              <w:color w:val="323E4F"/>
                            </w:rPr>
                            <w:t>/51</w:t>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2vU3TsQEA&#10;AEgDAAAOAAAAAAAAAAEAIAAAAB4BAABkcnMvZTJvRG9jLnhtbFBLBQYAAAAABgAGAFkBAABBBQAA&#10;AAA=&#10;">
              <v:fill on="f" focussize="0,0"/>
              <v:stroke on="f"/>
              <v:imagedata o:title=""/>
              <o:lock v:ext="edit" aspectratio="f"/>
              <v:textbox inset="0mm,0mm,0mm,0mm" style="mso-fit-shape-to-text:t;">
                <w:txbxContent>
                  <w:p>
                    <w:pPr>
                      <w:pStyle w:val="16"/>
                      <w:jc w:val="right"/>
                    </w:pPr>
                    <w:r>
                      <w:rPr>
                        <w:color w:val="323E4F"/>
                      </w:rPr>
                      <w:fldChar w:fldCharType="begin"/>
                    </w:r>
                    <w:r>
                      <w:rPr>
                        <w:color w:val="323E4F"/>
                      </w:rPr>
                      <w:instrText xml:space="preserve">PAGE   \* MERGEFORMAT</w:instrText>
                    </w:r>
                    <w:r>
                      <w:rPr>
                        <w:color w:val="323E4F"/>
                      </w:rPr>
                      <w:fldChar w:fldCharType="separate"/>
                    </w:r>
                    <w:r>
                      <w:rPr>
                        <w:color w:val="323E4F"/>
                        <w:lang w:val="zh-CN"/>
                      </w:rPr>
                      <w:t>10</w:t>
                    </w:r>
                    <w:r>
                      <w:rPr>
                        <w:color w:val="323E4F"/>
                      </w:rPr>
                      <w:fldChar w:fldCharType="end"/>
                    </w:r>
                    <w:r>
                      <w:rPr>
                        <w:rFonts w:hint="eastAsia" w:eastAsia="宋体"/>
                        <w:color w:val="323E4F"/>
                      </w:rPr>
                      <w:t>/51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222A35"/>
        <w:sz w:val="18"/>
        <w:szCs w:val="18"/>
        <w:lang w:eastAsia="zh-CN"/>
      </w:rPr>
    </w:pPr>
    <w:r>
      <w:rPr>
        <w:sz w:val="18"/>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tabs>
                              <w:tab w:val="center" w:pos="4550"/>
                              <w:tab w:val="left" w:pos="5818"/>
                            </w:tabs>
                            <w:ind w:right="260"/>
                            <w:jc w:val="right"/>
                          </w:pPr>
                          <w:r>
                            <w:rPr>
                              <w:color w:val="8496B0"/>
                              <w:lang w:val="zh-CN" w:eastAsia="zh-CN"/>
                            </w:rPr>
                            <w:t xml:space="preserve"> </w:t>
                          </w:r>
                          <w:r>
                            <w:rPr>
                              <w:color w:val="323E4F"/>
                              <w:sz w:val="18"/>
                              <w:szCs w:val="18"/>
                            </w:rPr>
                            <w:fldChar w:fldCharType="begin"/>
                          </w:r>
                          <w:r>
                            <w:rPr>
                              <w:color w:val="323E4F"/>
                              <w:sz w:val="18"/>
                              <w:szCs w:val="18"/>
                            </w:rPr>
                            <w:instrText xml:space="preserve">PAGE   \* MERGEFORMAT</w:instrText>
                          </w:r>
                          <w:r>
                            <w:rPr>
                              <w:color w:val="323E4F"/>
                              <w:sz w:val="18"/>
                              <w:szCs w:val="18"/>
                            </w:rPr>
                            <w:fldChar w:fldCharType="separate"/>
                          </w:r>
                          <w:r>
                            <w:rPr>
                              <w:color w:val="323E4F"/>
                              <w:sz w:val="18"/>
                              <w:szCs w:val="18"/>
                              <w:lang w:val="zh-CN" w:eastAsia="zh-CN"/>
                            </w:rPr>
                            <w:t>1</w:t>
                          </w:r>
                          <w:r>
                            <w:rPr>
                              <w:color w:val="323E4F"/>
                              <w:sz w:val="18"/>
                              <w:szCs w:val="18"/>
                            </w:rPr>
                            <w:fldChar w:fldCharType="end"/>
                          </w:r>
                          <w:r>
                            <w:rPr>
                              <w:color w:val="323E4F"/>
                              <w:sz w:val="18"/>
                              <w:szCs w:val="18"/>
                              <w:lang w:val="zh-CN" w:eastAsia="zh-CN"/>
                            </w:rPr>
                            <w:t xml:space="preserve"> | </w:t>
                          </w:r>
                          <w:r>
                            <w:rPr>
                              <w:color w:val="323E4F"/>
                              <w:sz w:val="18"/>
                              <w:szCs w:val="18"/>
                            </w:rPr>
                            <w:t>5</w:t>
                          </w:r>
                          <w:r>
                            <w:rPr>
                              <w:rFonts w:hint="eastAsia"/>
                              <w:color w:val="323E4F"/>
                              <w:sz w:val="18"/>
                              <w:szCs w:val="18"/>
                              <w:lang w:eastAsia="zh-CN"/>
                            </w:rPr>
                            <w:t>4</w:t>
                          </w:r>
                        </w:p>
                      </w:txbxContent>
                    </wps:txbx>
                    <wps:bodyPr wrap="none" lIns="0" tIns="0" rIns="0" bIns="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A/JaZZsQEA&#10;AEgDAAAOAAAAAAAAAAEAIAAAAB4BAABkcnMvZTJvRG9jLnhtbFBLBQYAAAAABgAGAFkBAABBBQAA&#10;AAA=&#10;">
              <v:fill on="f" focussize="0,0"/>
              <v:stroke on="f"/>
              <v:imagedata o:title=""/>
              <o:lock v:ext="edit" aspectratio="f"/>
              <v:textbox inset="0mm,0mm,0mm,0mm" style="mso-fit-shape-to-text:t;">
                <w:txbxContent>
                  <w:p>
                    <w:pPr>
                      <w:tabs>
                        <w:tab w:val="center" w:pos="4550"/>
                        <w:tab w:val="left" w:pos="5818"/>
                      </w:tabs>
                      <w:ind w:right="260"/>
                      <w:jc w:val="right"/>
                    </w:pPr>
                    <w:r>
                      <w:rPr>
                        <w:color w:val="8496B0"/>
                        <w:lang w:val="zh-CN" w:eastAsia="zh-CN"/>
                      </w:rPr>
                      <w:t xml:space="preserve"> </w:t>
                    </w:r>
                    <w:r>
                      <w:rPr>
                        <w:color w:val="323E4F"/>
                        <w:sz w:val="18"/>
                        <w:szCs w:val="18"/>
                      </w:rPr>
                      <w:fldChar w:fldCharType="begin"/>
                    </w:r>
                    <w:r>
                      <w:rPr>
                        <w:color w:val="323E4F"/>
                        <w:sz w:val="18"/>
                        <w:szCs w:val="18"/>
                      </w:rPr>
                      <w:instrText xml:space="preserve">PAGE   \* MERGEFORMAT</w:instrText>
                    </w:r>
                    <w:r>
                      <w:rPr>
                        <w:color w:val="323E4F"/>
                        <w:sz w:val="18"/>
                        <w:szCs w:val="18"/>
                      </w:rPr>
                      <w:fldChar w:fldCharType="separate"/>
                    </w:r>
                    <w:r>
                      <w:rPr>
                        <w:color w:val="323E4F"/>
                        <w:sz w:val="18"/>
                        <w:szCs w:val="18"/>
                        <w:lang w:val="zh-CN" w:eastAsia="zh-CN"/>
                      </w:rPr>
                      <w:t>1</w:t>
                    </w:r>
                    <w:r>
                      <w:rPr>
                        <w:color w:val="323E4F"/>
                        <w:sz w:val="18"/>
                        <w:szCs w:val="18"/>
                      </w:rPr>
                      <w:fldChar w:fldCharType="end"/>
                    </w:r>
                    <w:r>
                      <w:rPr>
                        <w:color w:val="323E4F"/>
                        <w:sz w:val="18"/>
                        <w:szCs w:val="18"/>
                        <w:lang w:val="zh-CN" w:eastAsia="zh-CN"/>
                      </w:rPr>
                      <w:t xml:space="preserve"> | </w:t>
                    </w:r>
                    <w:r>
                      <w:rPr>
                        <w:color w:val="323E4F"/>
                        <w:sz w:val="18"/>
                        <w:szCs w:val="18"/>
                      </w:rPr>
                      <w:t>5</w:t>
                    </w:r>
                    <w:r>
                      <w:rPr>
                        <w:rFonts w:hint="eastAsia"/>
                        <w:color w:val="323E4F"/>
                        <w:sz w:val="18"/>
                        <w:szCs w:val="18"/>
                        <w:lang w:eastAsia="zh-CN"/>
                      </w:rPr>
                      <w:t>4</w:t>
                    </w:r>
                  </w:p>
                </w:txbxContent>
              </v:textbox>
            </v:shape>
          </w:pict>
        </mc:Fallback>
      </mc:AlternateContent>
    </w:r>
  </w:p>
  <w:p>
    <w:pPr>
      <w:pStyle w:val="16"/>
      <w:jc w:val="center"/>
      <w:rPr>
        <w:rFonts w:eastAsia="等线"/>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eastAsia="宋体"/>
        <w:u w:val="single"/>
        <w:lang w:eastAsia="zh-CN"/>
      </w:rPr>
    </w:pPr>
    <w:bookmarkStart w:id="475" w:name="_Hlk502692053"/>
    <w:r>
      <w:rPr>
        <w:rFonts w:ascii="Times New Roman" w:hAnsi="Times New Roman" w:eastAsia="宋体" w:cs="Times New Roman"/>
        <w:u w:val="single"/>
        <w:lang w:val="zh-TW" w:eastAsia="zh-TW"/>
      </w:rPr>
      <w:t>方案编号：</w:t>
    </w:r>
    <w:r>
      <w:rPr>
        <w:rFonts w:hint="eastAsia" w:ascii="Times New Roman" w:hAnsi="Times New Roman" w:eastAsia="宋体" w:cs="Times New Roman"/>
        <w:u w:val="single"/>
        <w:lang w:eastAsia="zh-CN"/>
      </w:rPr>
      <w:t>XXXXXX</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u w:val="single"/>
      </w:rPr>
      <w:t xml:space="preserve">          </w:t>
    </w:r>
    <w:r>
      <w:rPr>
        <w:rFonts w:hint="eastAsia" w:ascii="Times New Roman" w:hAnsi="Times New Roman" w:eastAsia="宋体" w:cs="Times New Roman"/>
        <w:color w:val="auto"/>
        <w:sz w:val="21"/>
        <w:szCs w:val="21"/>
        <w:u w:val="single"/>
      </w:rPr>
      <w:t xml:space="preserve">           </w:t>
    </w:r>
    <w:r>
      <w:rPr>
        <w:rFonts w:ascii="Times New Roman" w:hAnsi="Times New Roman" w:eastAsia="宋体" w:cs="Times New Roman"/>
        <w:color w:val="auto"/>
        <w:sz w:val="21"/>
        <w:szCs w:val="21"/>
        <w:u w:val="single"/>
      </w:rPr>
      <w:t xml:space="preserve"> </w:t>
    </w:r>
    <w:bookmarkEnd w:id="475"/>
    <w:r>
      <w:rPr>
        <w:rFonts w:hint="eastAsia" w:ascii="宋体" w:hAnsi="宋体" w:eastAsia="宋体" w:cs="宋体"/>
        <w:u w:val="single"/>
        <w:lang w:val="zh-TW" w:eastAsia="zh-TW"/>
      </w:rPr>
      <w:t>版本号：</w:t>
    </w:r>
    <w:r>
      <w:rPr>
        <w:rFonts w:hint="eastAsia" w:ascii="宋体" w:hAnsi="宋体" w:eastAsia="宋体" w:cs="宋体"/>
        <w:u w:val="single"/>
        <w:lang w:val="zh-TW"/>
      </w:rPr>
      <w:t>V0.</w:t>
    </w:r>
    <w:r>
      <w:rPr>
        <w:rFonts w:hint="eastAsia" w:ascii="宋体" w:hAnsi="宋体" w:eastAsia="宋体" w:cs="宋体"/>
        <w:u w:val="single"/>
        <w:lang w:val="en-US" w:eastAsia="zh-CN"/>
      </w:rPr>
      <w:t>1</w:t>
    </w:r>
    <w:r>
      <w:rPr>
        <w:rFonts w:hint="eastAsia" w:ascii="宋体" w:hAnsi="宋体" w:eastAsia="宋体" w:cs="宋体"/>
        <w:u w:val="single"/>
        <w:lang w:val="zh-TW" w:eastAsia="zh-TW"/>
      </w:rPr>
      <w:t xml:space="preserve"> </w:t>
    </w:r>
    <w:r>
      <w:rPr>
        <w:rFonts w:ascii="宋体" w:hAnsi="宋体" w:eastAsia="PMingLiU" w:cs="宋体"/>
        <w:u w:val="single"/>
        <w:lang w:val="zh-TW" w:eastAsia="zh-TW"/>
      </w:rPr>
      <w:t xml:space="preserve">   </w:t>
    </w:r>
    <w:r>
      <w:rPr>
        <w:rFonts w:hint="eastAsia" w:ascii="宋体" w:hAnsi="宋体" w:eastAsia="宋体" w:cs="宋体"/>
        <w:u w:val="single"/>
        <w:lang w:val="zh-TW" w:eastAsia="zh-TW"/>
      </w:rPr>
      <w:t>版本日期：</w:t>
    </w:r>
    <w:r>
      <w:rPr>
        <w:rFonts w:hint="eastAsia" w:ascii="宋体" w:hAnsi="宋体" w:eastAsia="宋体" w:cs="宋体"/>
        <w:u w:val="single"/>
        <w:lang w:val="zh-TW" w:eastAsia="zh-CN"/>
      </w:rPr>
      <w:t>2019.01.29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eastAsia="宋体"/>
        <w:u w:val="single"/>
        <w:lang w:eastAsia="zh-CN"/>
      </w:rPr>
    </w:pPr>
    <w:r>
      <w:rPr>
        <w:rFonts w:hint="eastAsia" w:ascii="宋体" w:hAnsi="宋体" w:eastAsia="宋体" w:cs="宋体"/>
        <w:u w:val="single"/>
        <w:lang w:val="zh-TW"/>
      </w:rPr>
      <w:t xml:space="preserve"> </w:t>
    </w:r>
    <w:r>
      <w:rPr>
        <w:rFonts w:hint="eastAsia" w:ascii="宋体" w:hAnsi="宋体" w:eastAsia="宋体" w:cs="宋体"/>
        <w:u w:val="single"/>
        <w:lang w:val="zh-TW" w:eastAsia="zh-TW"/>
      </w:rPr>
      <w:t>方案编号</w:t>
    </w:r>
    <w:r>
      <w:rPr>
        <w:rFonts w:hint="eastAsia" w:ascii="宋体" w:hAnsi="宋体" w:eastAsia="宋体" w:cs="宋体"/>
        <w:u w:val="single"/>
        <w:lang w:val="zh-TW"/>
      </w:rPr>
      <w:t>：</w:t>
    </w:r>
    <w:r>
      <w:rPr>
        <w:rFonts w:hint="eastAsia" w:ascii="宋体" w:hAnsi="宋体" w:eastAsia="宋体" w:cs="宋体"/>
        <w:u w:val="single"/>
        <w:lang w:eastAsia="zh-CN"/>
      </w:rPr>
      <w:t>XXXXXX</w:t>
    </w:r>
    <w:r>
      <w:rPr>
        <w:rFonts w:hint="eastAsia" w:ascii="宋体" w:hAnsi="宋体" w:eastAsia="宋体" w:cs="宋体"/>
        <w:u w:val="single"/>
        <w:lang w:val="zh-TW" w:eastAsia="zh-TW"/>
      </w:rPr>
      <w:t xml:space="preserve">         </w:t>
    </w:r>
    <w:r>
      <w:rPr>
        <w:rFonts w:hint="eastAsia" w:ascii="宋体" w:hAnsi="宋体" w:eastAsia="宋体" w:cs="宋体"/>
        <w:u w:val="single"/>
        <w:lang w:val="zh-TW"/>
      </w:rPr>
      <w:t xml:space="preserve">                    </w:t>
    </w:r>
    <w:r>
      <w:rPr>
        <w:rFonts w:hint="eastAsia" w:ascii="宋体" w:hAnsi="宋体" w:eastAsia="宋体" w:cs="宋体"/>
        <w:u w:val="single"/>
        <w:lang w:val="zh-TW" w:eastAsia="zh-TW"/>
      </w:rPr>
      <w:t xml:space="preserve">          </w:t>
    </w:r>
    <w:r>
      <w:rPr>
        <w:rFonts w:ascii="宋体" w:hAnsi="宋体" w:eastAsia="PMingLiU" w:cs="宋体"/>
        <w:u w:val="single"/>
        <w:lang w:val="zh-TW" w:eastAsia="zh-TW"/>
      </w:rPr>
      <w:t xml:space="preserve">  </w:t>
    </w:r>
    <w:r>
      <w:rPr>
        <w:rFonts w:hint="eastAsia" w:ascii="宋体" w:hAnsi="宋体" w:eastAsia="宋体" w:cs="宋体"/>
        <w:u w:val="single"/>
        <w:lang w:val="zh-TW" w:eastAsia="zh-TW"/>
      </w:rPr>
      <w:t xml:space="preserve"> 版本号：</w:t>
    </w:r>
    <w:r>
      <w:rPr>
        <w:rFonts w:ascii="宋体" w:hAnsi="宋体" w:eastAsia="PMingLiU" w:cs="宋体"/>
        <w:u w:val="single"/>
        <w:lang w:val="zh-TW" w:eastAsia="zh-TW"/>
      </w:rPr>
      <w:t>V</w:t>
    </w:r>
    <w:r>
      <w:rPr>
        <w:rFonts w:hint="eastAsia" w:ascii="宋体" w:hAnsi="宋体" w:eastAsia="宋体" w:cs="宋体"/>
        <w:u w:val="single"/>
      </w:rPr>
      <w:t>0.9</w:t>
    </w:r>
    <w:r>
      <w:rPr>
        <w:rFonts w:hint="eastAsia" w:ascii="宋体" w:hAnsi="宋体" w:eastAsia="宋体" w:cs="宋体"/>
        <w:u w:val="single"/>
        <w:lang w:val="zh-TW" w:eastAsia="zh-TW"/>
      </w:rPr>
      <w:t xml:space="preserve"> </w:t>
    </w:r>
    <w:r>
      <w:rPr>
        <w:rFonts w:ascii="宋体" w:hAnsi="宋体" w:eastAsia="PMingLiU" w:cs="宋体"/>
        <w:u w:val="single"/>
        <w:lang w:val="zh-TW" w:eastAsia="zh-TW"/>
      </w:rPr>
      <w:t xml:space="preserve">   </w:t>
    </w:r>
    <w:r>
      <w:rPr>
        <w:rFonts w:hint="eastAsia" w:ascii="宋体" w:hAnsi="宋体" w:eastAsia="宋体" w:cs="宋体"/>
        <w:u w:val="single"/>
        <w:lang w:val="zh-TW" w:eastAsia="zh-TW"/>
      </w:rPr>
      <w:t>版本日期：</w:t>
    </w:r>
    <w:r>
      <w:rPr>
        <w:rFonts w:hint="eastAsia" w:ascii="宋体" w:hAnsi="宋体" w:eastAsia="宋体" w:cs="宋体"/>
        <w:u w:val="single"/>
        <w:lang w:val="zh-TW" w:eastAsia="zh-CN"/>
      </w:rPr>
      <w:t>2019.01.29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02AB7D"/>
    <w:multiLevelType w:val="singleLevel"/>
    <w:tmpl w:val="9F02AB7D"/>
    <w:lvl w:ilvl="0" w:tentative="0">
      <w:start w:val="2"/>
      <w:numFmt w:val="decimal"/>
      <w:suff w:val="space"/>
      <w:lvlText w:val="%1."/>
      <w:lvlJc w:val="left"/>
    </w:lvl>
  </w:abstractNum>
  <w:abstractNum w:abstractNumId="1">
    <w:nsid w:val="A24BC749"/>
    <w:multiLevelType w:val="singleLevel"/>
    <w:tmpl w:val="A24BC749"/>
    <w:lvl w:ilvl="0" w:tentative="0">
      <w:start w:val="1"/>
      <w:numFmt w:val="decimal"/>
      <w:suff w:val="nothing"/>
      <w:lvlText w:val="%1）"/>
      <w:lvlJc w:val="left"/>
    </w:lvl>
  </w:abstractNum>
  <w:abstractNum w:abstractNumId="2">
    <w:nsid w:val="A29608FC"/>
    <w:multiLevelType w:val="singleLevel"/>
    <w:tmpl w:val="A29608FC"/>
    <w:lvl w:ilvl="0" w:tentative="0">
      <w:start w:val="5"/>
      <w:numFmt w:val="chineseCounting"/>
      <w:suff w:val="nothing"/>
      <w:lvlText w:val="%1、"/>
      <w:lvlJc w:val="left"/>
      <w:rPr>
        <w:rFonts w:hint="eastAsia"/>
      </w:rPr>
    </w:lvl>
  </w:abstractNum>
  <w:abstractNum w:abstractNumId="3">
    <w:nsid w:val="DDB0EE0D"/>
    <w:multiLevelType w:val="singleLevel"/>
    <w:tmpl w:val="DDB0EE0D"/>
    <w:lvl w:ilvl="0" w:tentative="0">
      <w:start w:val="1"/>
      <w:numFmt w:val="decimal"/>
      <w:lvlText w:val="[%1]"/>
      <w:lvlJc w:val="left"/>
      <w:pPr>
        <w:tabs>
          <w:tab w:val="left" w:pos="312"/>
        </w:tabs>
      </w:pPr>
    </w:lvl>
  </w:abstractNum>
  <w:abstractNum w:abstractNumId="4">
    <w:nsid w:val="FF5C08B9"/>
    <w:multiLevelType w:val="singleLevel"/>
    <w:tmpl w:val="FF5C08B9"/>
    <w:lvl w:ilvl="0" w:tentative="0">
      <w:start w:val="1"/>
      <w:numFmt w:val="decimal"/>
      <w:suff w:val="nothing"/>
      <w:lvlText w:val="（%1）"/>
      <w:lvlJc w:val="left"/>
    </w:lvl>
  </w:abstractNum>
  <w:abstractNum w:abstractNumId="5">
    <w:nsid w:val="08363ECA"/>
    <w:multiLevelType w:val="multilevel"/>
    <w:tmpl w:val="08363ECA"/>
    <w:lvl w:ilvl="0" w:tentative="0">
      <w:start w:val="1"/>
      <w:numFmt w:val="decimal"/>
      <w:lvlText w:val="%1"/>
      <w:lvlJc w:val="left"/>
      <w:pPr>
        <w:ind w:left="405" w:hanging="40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2.4.4.%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6">
    <w:nsid w:val="085148F5"/>
    <w:multiLevelType w:val="multilevel"/>
    <w:tmpl w:val="085148F5"/>
    <w:lvl w:ilvl="0" w:tentative="0">
      <w:start w:val="1"/>
      <w:numFmt w:val="decimal"/>
      <w:lvlText w:val="7.3.%1"/>
      <w:lvlJc w:val="left"/>
      <w:pPr>
        <w:ind w:left="420" w:hanging="42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91E75D5"/>
    <w:multiLevelType w:val="multilevel"/>
    <w:tmpl w:val="091E75D5"/>
    <w:lvl w:ilvl="0" w:tentative="0">
      <w:start w:val="1"/>
      <w:numFmt w:val="decimal"/>
      <w:lvlText w:val="%1"/>
      <w:lvlJc w:val="left"/>
      <w:pPr>
        <w:ind w:left="530" w:hanging="530"/>
      </w:pPr>
      <w:rPr>
        <w:rFonts w:hint="default"/>
      </w:rPr>
    </w:lvl>
    <w:lvl w:ilvl="1" w:tentative="0">
      <w:start w:val="1"/>
      <w:numFmt w:val="decimal"/>
      <w:lvlText w:val="2.%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8">
    <w:nsid w:val="0934313D"/>
    <w:multiLevelType w:val="multilevel"/>
    <w:tmpl w:val="0934313D"/>
    <w:lvl w:ilvl="0" w:tentative="0">
      <w:start w:val="1"/>
      <w:numFmt w:val="decimal"/>
      <w:lvlText w:val="%1"/>
      <w:lvlJc w:val="left"/>
      <w:pPr>
        <w:ind w:left="530" w:hanging="530"/>
      </w:pPr>
      <w:rPr>
        <w:rFonts w:hint="default"/>
      </w:rPr>
    </w:lvl>
    <w:lvl w:ilvl="1" w:tentative="0">
      <w:start w:val="1"/>
      <w:numFmt w:val="decimal"/>
      <w:lvlText w:val="5.%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9">
    <w:nsid w:val="1714041D"/>
    <w:multiLevelType w:val="multilevel"/>
    <w:tmpl w:val="1714041D"/>
    <w:lvl w:ilvl="0" w:tentative="0">
      <w:start w:val="1"/>
      <w:numFmt w:val="lowerLetter"/>
      <w:lvlText w:val="%1)"/>
      <w:lvlJc w:val="left"/>
      <w:pPr>
        <w:ind w:left="1553" w:hanging="420"/>
      </w:pPr>
    </w:lvl>
    <w:lvl w:ilvl="1" w:tentative="0">
      <w:start w:val="1"/>
      <w:numFmt w:val="lowerLetter"/>
      <w:lvlText w:val="%2)"/>
      <w:lvlJc w:val="left"/>
      <w:pPr>
        <w:ind w:left="1973" w:hanging="420"/>
      </w:pPr>
    </w:lvl>
    <w:lvl w:ilvl="2" w:tentative="0">
      <w:start w:val="1"/>
      <w:numFmt w:val="lowerRoman"/>
      <w:lvlText w:val="%3."/>
      <w:lvlJc w:val="right"/>
      <w:pPr>
        <w:ind w:left="2393" w:hanging="420"/>
      </w:pPr>
    </w:lvl>
    <w:lvl w:ilvl="3" w:tentative="0">
      <w:start w:val="1"/>
      <w:numFmt w:val="decimal"/>
      <w:lvlText w:val="%4."/>
      <w:lvlJc w:val="left"/>
      <w:pPr>
        <w:ind w:left="2813" w:hanging="420"/>
      </w:pPr>
    </w:lvl>
    <w:lvl w:ilvl="4" w:tentative="0">
      <w:start w:val="1"/>
      <w:numFmt w:val="lowerLetter"/>
      <w:lvlText w:val="%5)"/>
      <w:lvlJc w:val="left"/>
      <w:pPr>
        <w:ind w:left="3233" w:hanging="420"/>
      </w:pPr>
    </w:lvl>
    <w:lvl w:ilvl="5" w:tentative="0">
      <w:start w:val="1"/>
      <w:numFmt w:val="lowerRoman"/>
      <w:lvlText w:val="%6."/>
      <w:lvlJc w:val="right"/>
      <w:pPr>
        <w:ind w:left="3653" w:hanging="420"/>
      </w:pPr>
    </w:lvl>
    <w:lvl w:ilvl="6" w:tentative="0">
      <w:start w:val="1"/>
      <w:numFmt w:val="decimal"/>
      <w:lvlText w:val="%7."/>
      <w:lvlJc w:val="left"/>
      <w:pPr>
        <w:ind w:left="4073" w:hanging="420"/>
      </w:pPr>
    </w:lvl>
    <w:lvl w:ilvl="7" w:tentative="0">
      <w:start w:val="1"/>
      <w:numFmt w:val="lowerLetter"/>
      <w:lvlText w:val="%8)"/>
      <w:lvlJc w:val="left"/>
      <w:pPr>
        <w:ind w:left="4493" w:hanging="420"/>
      </w:pPr>
    </w:lvl>
    <w:lvl w:ilvl="8" w:tentative="0">
      <w:start w:val="1"/>
      <w:numFmt w:val="lowerRoman"/>
      <w:lvlText w:val="%9."/>
      <w:lvlJc w:val="right"/>
      <w:pPr>
        <w:ind w:left="4913" w:hanging="420"/>
      </w:pPr>
    </w:lvl>
  </w:abstractNum>
  <w:abstractNum w:abstractNumId="10">
    <w:nsid w:val="199F2F5C"/>
    <w:multiLevelType w:val="multilevel"/>
    <w:tmpl w:val="199F2F5C"/>
    <w:lvl w:ilvl="0" w:tentative="0">
      <w:start w:val="1"/>
      <w:numFmt w:val="decimal"/>
      <w:lvlText w:val="%1"/>
      <w:lvlJc w:val="left"/>
      <w:pPr>
        <w:ind w:left="530" w:hanging="530"/>
      </w:pPr>
      <w:rPr>
        <w:rFonts w:hint="default"/>
      </w:rPr>
    </w:lvl>
    <w:lvl w:ilvl="1" w:tentative="0">
      <w:start w:val="1"/>
      <w:numFmt w:val="decimal"/>
      <w:lvlText w:val="%1.%2"/>
      <w:lvlJc w:val="left"/>
      <w:pPr>
        <w:ind w:left="530" w:hanging="530"/>
      </w:pPr>
      <w:rPr>
        <w:rFonts w:hint="default"/>
      </w:rPr>
    </w:lvl>
    <w:lvl w:ilvl="2" w:tentative="0">
      <w:start w:val="1"/>
      <w:numFmt w:val="decimal"/>
      <w:pStyle w:val="69"/>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11">
    <w:nsid w:val="1B0000AC"/>
    <w:multiLevelType w:val="multilevel"/>
    <w:tmpl w:val="1B0000AC"/>
    <w:lvl w:ilvl="0" w:tentative="0">
      <w:start w:val="1"/>
      <w:numFmt w:val="bullet"/>
      <w:lvlText w:val=""/>
      <w:lvlJc w:val="left"/>
      <w:pPr>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1D322E37"/>
    <w:multiLevelType w:val="multilevel"/>
    <w:tmpl w:val="1D322E37"/>
    <w:lvl w:ilvl="0" w:tentative="0">
      <w:start w:val="1"/>
      <w:numFmt w:val="decimal"/>
      <w:lvlText w:val="3.4.%1"/>
      <w:lvlJc w:val="left"/>
      <w:pPr>
        <w:ind w:left="420" w:hanging="42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E48587B"/>
    <w:multiLevelType w:val="multilevel"/>
    <w:tmpl w:val="1E48587B"/>
    <w:lvl w:ilvl="0" w:tentative="0">
      <w:start w:val="1"/>
      <w:numFmt w:val="decimal"/>
      <w:lvlText w:val="%1"/>
      <w:lvlJc w:val="left"/>
      <w:pPr>
        <w:ind w:left="530" w:hanging="530"/>
      </w:pPr>
      <w:rPr>
        <w:rFonts w:hint="default"/>
      </w:rPr>
    </w:lvl>
    <w:lvl w:ilvl="1" w:tentative="0">
      <w:start w:val="1"/>
      <w:numFmt w:val="decimal"/>
      <w:lvlText w:val="10.%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14">
    <w:nsid w:val="24E92DBB"/>
    <w:multiLevelType w:val="multilevel"/>
    <w:tmpl w:val="24E92DBB"/>
    <w:lvl w:ilvl="0" w:tentative="0">
      <w:start w:val="1"/>
      <w:numFmt w:val="decimal"/>
      <w:lvlText w:val="%1)"/>
      <w:lvlJc w:val="left"/>
      <w:pPr>
        <w:ind w:left="422" w:hanging="420"/>
      </w:pPr>
    </w:lvl>
    <w:lvl w:ilvl="1" w:tentative="0">
      <w:start w:val="1"/>
      <w:numFmt w:val="lowerLetter"/>
      <w:lvlText w:val="%2."/>
      <w:lvlJc w:val="left"/>
      <w:pPr>
        <w:ind w:left="782" w:hanging="360"/>
      </w:pPr>
      <w:rPr>
        <w:rFonts w:hint="default"/>
      </w:rPr>
    </w:lvl>
    <w:lvl w:ilvl="2" w:tentative="0">
      <w:start w:val="1"/>
      <w:numFmt w:val="lowerRoman"/>
      <w:lvlText w:val="%3."/>
      <w:lvlJc w:val="right"/>
      <w:pPr>
        <w:ind w:left="1262" w:hanging="420"/>
      </w:pPr>
    </w:lvl>
    <w:lvl w:ilvl="3" w:tentative="0">
      <w:start w:val="1"/>
      <w:numFmt w:val="decimal"/>
      <w:lvlText w:val="%4."/>
      <w:lvlJc w:val="left"/>
      <w:pPr>
        <w:ind w:left="1682" w:hanging="420"/>
      </w:pPr>
    </w:lvl>
    <w:lvl w:ilvl="4" w:tentative="0">
      <w:start w:val="1"/>
      <w:numFmt w:val="lowerLetter"/>
      <w:lvlText w:val="%5)"/>
      <w:lvlJc w:val="left"/>
      <w:pPr>
        <w:ind w:left="2102" w:hanging="420"/>
      </w:pPr>
    </w:lvl>
    <w:lvl w:ilvl="5" w:tentative="0">
      <w:start w:val="1"/>
      <w:numFmt w:val="lowerRoman"/>
      <w:lvlText w:val="%6."/>
      <w:lvlJc w:val="right"/>
      <w:pPr>
        <w:ind w:left="2522" w:hanging="420"/>
      </w:pPr>
    </w:lvl>
    <w:lvl w:ilvl="6" w:tentative="0">
      <w:start w:val="1"/>
      <w:numFmt w:val="decimal"/>
      <w:lvlText w:val="%7."/>
      <w:lvlJc w:val="left"/>
      <w:pPr>
        <w:ind w:left="2942" w:hanging="420"/>
      </w:pPr>
    </w:lvl>
    <w:lvl w:ilvl="7" w:tentative="0">
      <w:start w:val="1"/>
      <w:numFmt w:val="lowerLetter"/>
      <w:lvlText w:val="%8)"/>
      <w:lvlJc w:val="left"/>
      <w:pPr>
        <w:ind w:left="3362" w:hanging="420"/>
      </w:pPr>
    </w:lvl>
    <w:lvl w:ilvl="8" w:tentative="0">
      <w:start w:val="1"/>
      <w:numFmt w:val="lowerRoman"/>
      <w:lvlText w:val="%9."/>
      <w:lvlJc w:val="right"/>
      <w:pPr>
        <w:ind w:left="3782" w:hanging="420"/>
      </w:pPr>
    </w:lvl>
  </w:abstractNum>
  <w:abstractNum w:abstractNumId="15">
    <w:nsid w:val="2A8E11B0"/>
    <w:multiLevelType w:val="singleLevel"/>
    <w:tmpl w:val="2A8E11B0"/>
    <w:lvl w:ilvl="0" w:tentative="0">
      <w:start w:val="1"/>
      <w:numFmt w:val="decimal"/>
      <w:lvlText w:val="(%1)"/>
      <w:lvlJc w:val="left"/>
      <w:pPr>
        <w:ind w:left="425" w:hanging="425"/>
      </w:pPr>
      <w:rPr>
        <w:rFonts w:hint="default"/>
      </w:rPr>
    </w:lvl>
  </w:abstractNum>
  <w:abstractNum w:abstractNumId="16">
    <w:nsid w:val="2E75319A"/>
    <w:multiLevelType w:val="singleLevel"/>
    <w:tmpl w:val="2E75319A"/>
    <w:lvl w:ilvl="0" w:tentative="0">
      <w:start w:val="6"/>
      <w:numFmt w:val="decimal"/>
      <w:suff w:val="space"/>
      <w:lvlText w:val="%1."/>
      <w:lvlJc w:val="left"/>
    </w:lvl>
  </w:abstractNum>
  <w:abstractNum w:abstractNumId="17">
    <w:nsid w:val="30D34223"/>
    <w:multiLevelType w:val="multilevel"/>
    <w:tmpl w:val="30D3422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8">
    <w:nsid w:val="3CAD0BC3"/>
    <w:multiLevelType w:val="multilevel"/>
    <w:tmpl w:val="3CAD0B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2B12FE4"/>
    <w:multiLevelType w:val="multilevel"/>
    <w:tmpl w:val="42B12FE4"/>
    <w:lvl w:ilvl="0" w:tentative="0">
      <w:start w:val="1"/>
      <w:numFmt w:val="decimal"/>
      <w:lvlText w:val="%1"/>
      <w:lvlJc w:val="left"/>
      <w:pPr>
        <w:ind w:left="530" w:hanging="530"/>
      </w:pPr>
      <w:rPr>
        <w:rFonts w:hint="default"/>
      </w:rPr>
    </w:lvl>
    <w:lvl w:ilvl="1" w:tentative="0">
      <w:start w:val="1"/>
      <w:numFmt w:val="decimal"/>
      <w:lvlText w:val="7.%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0">
    <w:nsid w:val="46696DAB"/>
    <w:multiLevelType w:val="multilevel"/>
    <w:tmpl w:val="46696DAB"/>
    <w:lvl w:ilvl="0" w:tentative="0">
      <w:start w:val="1"/>
      <w:numFmt w:val="bullet"/>
      <w:lvlText w:val=""/>
      <w:lvlJc w:val="left"/>
      <w:pPr>
        <w:ind w:left="530" w:hanging="530"/>
      </w:pPr>
      <w:rPr>
        <w:rFonts w:hint="default" w:ascii="Wingdings" w:hAnsi="Wingdings"/>
      </w:rPr>
    </w:lvl>
    <w:lvl w:ilvl="1" w:tentative="0">
      <w:start w:val="1"/>
      <w:numFmt w:val="decimal"/>
      <w:lvlText w:val="8.%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1">
    <w:nsid w:val="4D144D97"/>
    <w:multiLevelType w:val="multilevel"/>
    <w:tmpl w:val="4D144D97"/>
    <w:lvl w:ilvl="0" w:tentative="0">
      <w:start w:val="1"/>
      <w:numFmt w:val="decimal"/>
      <w:lvlText w:val="%1"/>
      <w:lvlJc w:val="left"/>
      <w:pPr>
        <w:ind w:left="530" w:hanging="530"/>
      </w:pPr>
      <w:rPr>
        <w:rFonts w:hint="default"/>
      </w:rPr>
    </w:lvl>
    <w:lvl w:ilvl="1" w:tentative="0">
      <w:start w:val="1"/>
      <w:numFmt w:val="decimal"/>
      <w:lvlText w:val="3.%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2">
    <w:nsid w:val="515F7AB4"/>
    <w:multiLevelType w:val="multilevel"/>
    <w:tmpl w:val="515F7AB4"/>
    <w:lvl w:ilvl="0" w:tentative="0">
      <w:start w:val="1"/>
      <w:numFmt w:val="decimal"/>
      <w:lvlText w:val="%1)"/>
      <w:lvlJc w:val="left"/>
      <w:pPr>
        <w:ind w:left="420" w:hanging="42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3BF0D0B"/>
    <w:multiLevelType w:val="multilevel"/>
    <w:tmpl w:val="53BF0D0B"/>
    <w:lvl w:ilvl="0" w:tentative="0">
      <w:start w:val="1"/>
      <w:numFmt w:val="decimal"/>
      <w:lvlText w:val="%1"/>
      <w:lvlJc w:val="left"/>
      <w:pPr>
        <w:ind w:left="530" w:hanging="530"/>
      </w:pPr>
      <w:rPr>
        <w:rFonts w:hint="default"/>
      </w:rPr>
    </w:lvl>
    <w:lvl w:ilvl="1" w:tentative="0">
      <w:start w:val="1"/>
      <w:numFmt w:val="decimal"/>
      <w:lvlText w:val="9.%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4">
    <w:nsid w:val="57C6004F"/>
    <w:multiLevelType w:val="multilevel"/>
    <w:tmpl w:val="57C6004F"/>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7CFB7A4"/>
    <w:multiLevelType w:val="singleLevel"/>
    <w:tmpl w:val="57CFB7A4"/>
    <w:lvl w:ilvl="0" w:tentative="0">
      <w:start w:val="3"/>
      <w:numFmt w:val="decimal"/>
      <w:suff w:val="nothing"/>
      <w:lvlText w:val="（%1）"/>
      <w:lvlJc w:val="left"/>
    </w:lvl>
  </w:abstractNum>
  <w:abstractNum w:abstractNumId="26">
    <w:nsid w:val="59A007D1"/>
    <w:multiLevelType w:val="multilevel"/>
    <w:tmpl w:val="59A007D1"/>
    <w:lvl w:ilvl="0" w:tentative="0">
      <w:start w:val="1"/>
      <w:numFmt w:val="decimal"/>
      <w:lvlText w:val="%1"/>
      <w:lvlJc w:val="left"/>
      <w:pPr>
        <w:ind w:left="530" w:hanging="530"/>
      </w:pPr>
      <w:rPr>
        <w:rFonts w:hint="default"/>
      </w:rPr>
    </w:lvl>
    <w:lvl w:ilvl="1" w:tentative="0">
      <w:start w:val="1"/>
      <w:numFmt w:val="decimal"/>
      <w:lvlText w:val="6.%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7">
    <w:nsid w:val="5ADC617B"/>
    <w:multiLevelType w:val="multilevel"/>
    <w:tmpl w:val="5ADC617B"/>
    <w:lvl w:ilvl="0" w:tentative="0">
      <w:start w:val="1"/>
      <w:numFmt w:val="decimal"/>
      <w:lvlText w:val="%1"/>
      <w:lvlJc w:val="left"/>
      <w:pPr>
        <w:ind w:left="530" w:hanging="530"/>
      </w:pPr>
      <w:rPr>
        <w:rFonts w:hint="default"/>
      </w:rPr>
    </w:lvl>
    <w:lvl w:ilvl="1" w:tentative="0">
      <w:start w:val="1"/>
      <w:numFmt w:val="decimal"/>
      <w:lvlText w:val="4.%2"/>
      <w:lvlJc w:val="left"/>
      <w:pPr>
        <w:ind w:left="530" w:hanging="530"/>
      </w:pPr>
      <w:rPr>
        <w:rFonts w:hint="default"/>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28">
    <w:nsid w:val="5D51260C"/>
    <w:multiLevelType w:val="multilevel"/>
    <w:tmpl w:val="5D51260C"/>
    <w:lvl w:ilvl="0" w:tentative="0">
      <w:start w:val="1"/>
      <w:numFmt w:val="decimal"/>
      <w:lvlText w:val="%1"/>
      <w:lvlJc w:val="left"/>
      <w:pPr>
        <w:ind w:left="645" w:hanging="645"/>
      </w:pPr>
      <w:rPr>
        <w:rFonts w:hint="default" w:cs="宋体"/>
      </w:rPr>
    </w:lvl>
    <w:lvl w:ilvl="1" w:tentative="0">
      <w:start w:val="2"/>
      <w:numFmt w:val="decimal"/>
      <w:lvlText w:val="%1.%2"/>
      <w:lvlJc w:val="left"/>
      <w:pPr>
        <w:ind w:left="720" w:hanging="720"/>
      </w:pPr>
      <w:rPr>
        <w:rFonts w:hint="default" w:cs="宋体"/>
      </w:rPr>
    </w:lvl>
    <w:lvl w:ilvl="2" w:tentative="0">
      <w:start w:val="1"/>
      <w:numFmt w:val="decimal"/>
      <w:lvlText w:val="%1.%2.%3"/>
      <w:lvlJc w:val="left"/>
      <w:pPr>
        <w:ind w:left="720" w:hanging="720"/>
      </w:pPr>
      <w:rPr>
        <w:rFonts w:hint="default" w:cs="宋体"/>
      </w:rPr>
    </w:lvl>
    <w:lvl w:ilvl="3" w:tentative="0">
      <w:start w:val="1"/>
      <w:numFmt w:val="decimal"/>
      <w:lvlText w:val="1.5.1.%4"/>
      <w:lvlJc w:val="left"/>
      <w:pPr>
        <w:ind w:left="1080" w:hanging="1080"/>
      </w:pPr>
      <w:rPr>
        <w:rFonts w:hint="eastAsia" w:cs="宋体"/>
        <w:vertAlign w:val="baseline"/>
      </w:rPr>
    </w:lvl>
    <w:lvl w:ilvl="4" w:tentative="0">
      <w:start w:val="1"/>
      <w:numFmt w:val="decimal"/>
      <w:lvlText w:val="%1.%2.%3.%4.%5"/>
      <w:lvlJc w:val="left"/>
      <w:pPr>
        <w:ind w:left="1440" w:hanging="1440"/>
      </w:pPr>
      <w:rPr>
        <w:rFonts w:hint="default" w:cs="宋体"/>
      </w:rPr>
    </w:lvl>
    <w:lvl w:ilvl="5" w:tentative="0">
      <w:start w:val="1"/>
      <w:numFmt w:val="decimal"/>
      <w:lvlText w:val="%1.%2.%3.%4.%5.%6"/>
      <w:lvlJc w:val="left"/>
      <w:pPr>
        <w:ind w:left="1440" w:hanging="1440"/>
      </w:pPr>
      <w:rPr>
        <w:rFonts w:hint="default" w:cs="宋体"/>
      </w:rPr>
    </w:lvl>
    <w:lvl w:ilvl="6" w:tentative="0">
      <w:start w:val="1"/>
      <w:numFmt w:val="decimal"/>
      <w:lvlText w:val="%1.%2.%3.%4.%5.%6.%7"/>
      <w:lvlJc w:val="left"/>
      <w:pPr>
        <w:ind w:left="1800" w:hanging="1800"/>
      </w:pPr>
      <w:rPr>
        <w:rFonts w:hint="default" w:cs="宋体"/>
      </w:rPr>
    </w:lvl>
    <w:lvl w:ilvl="7" w:tentative="0">
      <w:start w:val="1"/>
      <w:numFmt w:val="decimal"/>
      <w:lvlText w:val="%1.%2.%3.%4.%5.%6.%7.%8"/>
      <w:lvlJc w:val="left"/>
      <w:pPr>
        <w:ind w:left="2160" w:hanging="2160"/>
      </w:pPr>
      <w:rPr>
        <w:rFonts w:hint="default" w:cs="宋体"/>
      </w:rPr>
    </w:lvl>
    <w:lvl w:ilvl="8" w:tentative="0">
      <w:start w:val="1"/>
      <w:numFmt w:val="decimal"/>
      <w:lvlText w:val="%1.%2.%3.%4.%5.%6.%7.%8.%9"/>
      <w:lvlJc w:val="left"/>
      <w:pPr>
        <w:ind w:left="2160" w:hanging="2160"/>
      </w:pPr>
      <w:rPr>
        <w:rFonts w:hint="default" w:cs="宋体"/>
      </w:rPr>
    </w:lvl>
  </w:abstractNum>
  <w:abstractNum w:abstractNumId="29">
    <w:nsid w:val="63AAC3D5"/>
    <w:multiLevelType w:val="singleLevel"/>
    <w:tmpl w:val="63AAC3D5"/>
    <w:lvl w:ilvl="0" w:tentative="0">
      <w:start w:val="1"/>
      <w:numFmt w:val="decimal"/>
      <w:suff w:val="space"/>
      <w:lvlText w:val="（%1）"/>
      <w:lvlJc w:val="left"/>
    </w:lvl>
  </w:abstractNum>
  <w:abstractNum w:abstractNumId="30">
    <w:nsid w:val="64C76309"/>
    <w:multiLevelType w:val="multilevel"/>
    <w:tmpl w:val="64C76309"/>
    <w:lvl w:ilvl="0" w:tentative="0">
      <w:start w:val="1"/>
      <w:numFmt w:val="bullet"/>
      <w:lvlText w:val=""/>
      <w:lvlJc w:val="left"/>
      <w:pPr>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67FA3445"/>
    <w:multiLevelType w:val="multilevel"/>
    <w:tmpl w:val="67FA3445"/>
    <w:lvl w:ilvl="0" w:tentative="0">
      <w:start w:val="1"/>
      <w:numFmt w:val="bullet"/>
      <w:lvlText w:val=""/>
      <w:lvlJc w:val="left"/>
      <w:pPr>
        <w:ind w:left="844" w:hanging="420"/>
      </w:pPr>
      <w:rPr>
        <w:rFonts w:hint="default" w:ascii="Wingdings" w:hAnsi="Wingdings"/>
        <w:color w:val="auto"/>
        <w:sz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6C346841"/>
    <w:multiLevelType w:val="multilevel"/>
    <w:tmpl w:val="6C346841"/>
    <w:lvl w:ilvl="0" w:tentative="0">
      <w:start w:val="1"/>
      <w:numFmt w:val="decimal"/>
      <w:lvlText w:val="%1"/>
      <w:lvlJc w:val="left"/>
      <w:pPr>
        <w:ind w:left="530" w:hanging="530"/>
      </w:pPr>
      <w:rPr>
        <w:rFonts w:hint="default"/>
      </w:rPr>
    </w:lvl>
    <w:lvl w:ilvl="1" w:tentative="0">
      <w:start w:val="1"/>
      <w:numFmt w:val="decimal"/>
      <w:lvlText w:val="8.%2"/>
      <w:lvlJc w:val="left"/>
      <w:pPr>
        <w:ind w:left="530" w:hanging="530"/>
      </w:pPr>
      <w:rPr>
        <w:rFonts w:hint="eastAsia"/>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33">
    <w:nsid w:val="6E092333"/>
    <w:multiLevelType w:val="multilevel"/>
    <w:tmpl w:val="6E092333"/>
    <w:lvl w:ilvl="0" w:tentative="0">
      <w:start w:val="1"/>
      <w:numFmt w:val="bullet"/>
      <w:lvlText w:val=""/>
      <w:lvlJc w:val="left"/>
      <w:pPr>
        <w:ind w:left="405" w:hanging="2"/>
      </w:pPr>
      <w:rPr>
        <w:rFonts w:hint="default" w:ascii="Wingdings" w:hAnsi="Wingdings"/>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2.4.4.%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4">
    <w:nsid w:val="6E22560D"/>
    <w:multiLevelType w:val="multilevel"/>
    <w:tmpl w:val="6E22560D"/>
    <w:lvl w:ilvl="0" w:tentative="0">
      <w:start w:val="1"/>
      <w:numFmt w:val="bullet"/>
      <w:lvlText w:val=""/>
      <w:lvlJc w:val="left"/>
      <w:pPr>
        <w:tabs>
          <w:tab w:val="left" w:pos="909"/>
        </w:tabs>
        <w:ind w:left="909" w:hanging="420"/>
      </w:pPr>
      <w:rPr>
        <w:rFonts w:hint="default" w:ascii="Wingdings" w:hAnsi="Wingdings"/>
        <w:kern w:val="0"/>
        <w:position w:val="0"/>
        <w:sz w:val="21"/>
        <w:szCs w:val="21"/>
        <w:lang w:val="zh-TW" w:eastAsia="zh-TW"/>
      </w:rPr>
    </w:lvl>
    <w:lvl w:ilvl="1" w:tentative="0">
      <w:start w:val="1"/>
      <w:numFmt w:val="bullet"/>
      <w:lvlText w:val="o"/>
      <w:lvlJc w:val="left"/>
      <w:pPr>
        <w:tabs>
          <w:tab w:val="left" w:pos="1569"/>
        </w:tabs>
        <w:ind w:left="1569" w:hanging="360"/>
      </w:pPr>
      <w:rPr>
        <w:rFonts w:ascii="宋体" w:hAnsi="宋体" w:eastAsia="宋体" w:cs="宋体"/>
        <w:kern w:val="0"/>
        <w:position w:val="0"/>
        <w:sz w:val="24"/>
        <w:szCs w:val="24"/>
        <w:lang w:val="zh-TW" w:eastAsia="zh-TW"/>
      </w:rPr>
    </w:lvl>
    <w:lvl w:ilvl="2" w:tentative="0">
      <w:start w:val="1"/>
      <w:numFmt w:val="bullet"/>
      <w:lvlText w:val="▪"/>
      <w:lvlJc w:val="left"/>
      <w:pPr>
        <w:tabs>
          <w:tab w:val="left" w:pos="2289"/>
        </w:tabs>
        <w:ind w:left="2289" w:hanging="360"/>
      </w:pPr>
      <w:rPr>
        <w:rFonts w:ascii="宋体" w:hAnsi="宋体" w:eastAsia="宋体" w:cs="宋体"/>
        <w:kern w:val="0"/>
        <w:position w:val="0"/>
        <w:sz w:val="24"/>
        <w:szCs w:val="24"/>
        <w:lang w:val="zh-TW" w:eastAsia="zh-TW"/>
      </w:rPr>
    </w:lvl>
    <w:lvl w:ilvl="3" w:tentative="0">
      <w:start w:val="1"/>
      <w:numFmt w:val="bullet"/>
      <w:lvlText w:val="•"/>
      <w:lvlJc w:val="left"/>
      <w:pPr>
        <w:tabs>
          <w:tab w:val="left" w:pos="3009"/>
        </w:tabs>
        <w:ind w:left="3009" w:hanging="360"/>
      </w:pPr>
      <w:rPr>
        <w:rFonts w:ascii="宋体" w:hAnsi="宋体" w:eastAsia="宋体" w:cs="宋体"/>
        <w:kern w:val="0"/>
        <w:position w:val="0"/>
        <w:sz w:val="24"/>
        <w:szCs w:val="24"/>
        <w:lang w:val="zh-TW" w:eastAsia="zh-TW"/>
      </w:rPr>
    </w:lvl>
    <w:lvl w:ilvl="4" w:tentative="0">
      <w:start w:val="1"/>
      <w:numFmt w:val="bullet"/>
      <w:lvlText w:val="o"/>
      <w:lvlJc w:val="left"/>
      <w:pPr>
        <w:tabs>
          <w:tab w:val="left" w:pos="3729"/>
        </w:tabs>
        <w:ind w:left="3729" w:hanging="360"/>
      </w:pPr>
      <w:rPr>
        <w:rFonts w:ascii="宋体" w:hAnsi="宋体" w:eastAsia="宋体" w:cs="宋体"/>
        <w:kern w:val="0"/>
        <w:position w:val="0"/>
        <w:sz w:val="24"/>
        <w:szCs w:val="24"/>
        <w:lang w:val="zh-TW" w:eastAsia="zh-TW"/>
      </w:rPr>
    </w:lvl>
    <w:lvl w:ilvl="5" w:tentative="0">
      <w:start w:val="1"/>
      <w:numFmt w:val="bullet"/>
      <w:lvlText w:val="▪"/>
      <w:lvlJc w:val="left"/>
      <w:pPr>
        <w:tabs>
          <w:tab w:val="left" w:pos="4449"/>
        </w:tabs>
        <w:ind w:left="4449" w:hanging="360"/>
      </w:pPr>
      <w:rPr>
        <w:rFonts w:ascii="宋体" w:hAnsi="宋体" w:eastAsia="宋体" w:cs="宋体"/>
        <w:kern w:val="0"/>
        <w:position w:val="0"/>
        <w:sz w:val="24"/>
        <w:szCs w:val="24"/>
        <w:lang w:val="zh-TW" w:eastAsia="zh-TW"/>
      </w:rPr>
    </w:lvl>
    <w:lvl w:ilvl="6" w:tentative="0">
      <w:start w:val="1"/>
      <w:numFmt w:val="bullet"/>
      <w:lvlText w:val="•"/>
      <w:lvlJc w:val="left"/>
      <w:pPr>
        <w:tabs>
          <w:tab w:val="left" w:pos="5169"/>
        </w:tabs>
        <w:ind w:left="5169" w:hanging="360"/>
      </w:pPr>
      <w:rPr>
        <w:rFonts w:ascii="宋体" w:hAnsi="宋体" w:eastAsia="宋体" w:cs="宋体"/>
        <w:kern w:val="0"/>
        <w:position w:val="0"/>
        <w:sz w:val="24"/>
        <w:szCs w:val="24"/>
        <w:lang w:val="zh-TW" w:eastAsia="zh-TW"/>
      </w:rPr>
    </w:lvl>
    <w:lvl w:ilvl="7" w:tentative="0">
      <w:start w:val="1"/>
      <w:numFmt w:val="bullet"/>
      <w:lvlText w:val="o"/>
      <w:lvlJc w:val="left"/>
      <w:pPr>
        <w:tabs>
          <w:tab w:val="left" w:pos="5889"/>
        </w:tabs>
        <w:ind w:left="5889" w:hanging="360"/>
      </w:pPr>
      <w:rPr>
        <w:rFonts w:ascii="宋体" w:hAnsi="宋体" w:eastAsia="宋体" w:cs="宋体"/>
        <w:kern w:val="0"/>
        <w:position w:val="0"/>
        <w:sz w:val="24"/>
        <w:szCs w:val="24"/>
        <w:lang w:val="zh-TW" w:eastAsia="zh-TW"/>
      </w:rPr>
    </w:lvl>
    <w:lvl w:ilvl="8" w:tentative="0">
      <w:start w:val="1"/>
      <w:numFmt w:val="bullet"/>
      <w:lvlText w:val="▪"/>
      <w:lvlJc w:val="left"/>
      <w:pPr>
        <w:tabs>
          <w:tab w:val="left" w:pos="6609"/>
        </w:tabs>
        <w:ind w:left="6609" w:hanging="360"/>
      </w:pPr>
      <w:rPr>
        <w:rFonts w:ascii="宋体" w:hAnsi="宋体" w:eastAsia="宋体" w:cs="宋体"/>
        <w:kern w:val="0"/>
        <w:position w:val="0"/>
        <w:sz w:val="24"/>
        <w:szCs w:val="24"/>
        <w:lang w:val="zh-TW" w:eastAsia="zh-TW"/>
      </w:rPr>
    </w:lvl>
  </w:abstractNum>
  <w:abstractNum w:abstractNumId="35">
    <w:nsid w:val="77C47C27"/>
    <w:multiLevelType w:val="multilevel"/>
    <w:tmpl w:val="77C47C27"/>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36">
    <w:nsid w:val="7A0E34DB"/>
    <w:multiLevelType w:val="multilevel"/>
    <w:tmpl w:val="7A0E34DB"/>
    <w:lvl w:ilvl="0" w:tentative="0">
      <w:start w:val="1"/>
      <w:numFmt w:val="decimal"/>
      <w:lvlText w:val="%1"/>
      <w:lvlJc w:val="left"/>
      <w:pPr>
        <w:ind w:left="530" w:hanging="530"/>
      </w:pPr>
      <w:rPr>
        <w:rFonts w:hint="default"/>
      </w:rPr>
    </w:lvl>
    <w:lvl w:ilvl="1" w:tentative="0">
      <w:start w:val="1"/>
      <w:numFmt w:val="decimal"/>
      <w:lvlText w:val="12.%2"/>
      <w:lvlJc w:val="left"/>
      <w:pPr>
        <w:ind w:left="530" w:hanging="530"/>
      </w:pPr>
      <w:rPr>
        <w:rFonts w:hint="eastAsia"/>
      </w:rPr>
    </w:lvl>
    <w:lvl w:ilvl="2" w:tentative="0">
      <w:start w:val="1"/>
      <w:numFmt w:val="decimal"/>
      <w:lvlText w:val="%1.%2.%3"/>
      <w:lvlJc w:val="left"/>
      <w:pPr>
        <w:ind w:left="530" w:hanging="530"/>
      </w:pPr>
      <w:rPr>
        <w:rFonts w:hint="default"/>
      </w:rPr>
    </w:lvl>
    <w:lvl w:ilvl="3" w:tentative="0">
      <w:start w:val="1"/>
      <w:numFmt w:val="decimal"/>
      <w:lvlText w:val="%1.%2.%3.%4"/>
      <w:lvlJc w:val="left"/>
      <w:pPr>
        <w:ind w:left="530" w:hanging="530"/>
      </w:pPr>
      <w:rPr>
        <w:rFonts w:hint="default"/>
      </w:rPr>
    </w:lvl>
    <w:lvl w:ilvl="4" w:tentative="0">
      <w:start w:val="1"/>
      <w:numFmt w:val="decimal"/>
      <w:lvlText w:val="%1.%2.%3.%4.%5"/>
      <w:lvlJc w:val="left"/>
      <w:pPr>
        <w:ind w:left="530" w:hanging="530"/>
      </w:pPr>
      <w:rPr>
        <w:rFonts w:hint="default"/>
      </w:rPr>
    </w:lvl>
    <w:lvl w:ilvl="5" w:tentative="0">
      <w:start w:val="1"/>
      <w:numFmt w:val="decimal"/>
      <w:lvlText w:val="%1.%2.%3.%4.%5.%6"/>
      <w:lvlJc w:val="left"/>
      <w:pPr>
        <w:ind w:left="530" w:hanging="530"/>
      </w:pPr>
      <w:rPr>
        <w:rFonts w:hint="default"/>
      </w:rPr>
    </w:lvl>
    <w:lvl w:ilvl="6" w:tentative="0">
      <w:start w:val="1"/>
      <w:numFmt w:val="decimal"/>
      <w:lvlText w:val="%1.%2.%3.%4.%5.%6.%7"/>
      <w:lvlJc w:val="left"/>
      <w:pPr>
        <w:ind w:left="530" w:hanging="530"/>
      </w:pPr>
      <w:rPr>
        <w:rFonts w:hint="default"/>
      </w:rPr>
    </w:lvl>
    <w:lvl w:ilvl="7" w:tentative="0">
      <w:start w:val="1"/>
      <w:numFmt w:val="decimal"/>
      <w:lvlText w:val="%1.%2.%3.%4.%5.%6.%7.%8"/>
      <w:lvlJc w:val="left"/>
      <w:pPr>
        <w:ind w:left="530" w:hanging="530"/>
      </w:pPr>
      <w:rPr>
        <w:rFonts w:hint="default"/>
      </w:rPr>
    </w:lvl>
    <w:lvl w:ilvl="8" w:tentative="0">
      <w:start w:val="1"/>
      <w:numFmt w:val="decimal"/>
      <w:lvlText w:val="%1.%2.%3.%4.%5.%6.%7.%8.%9"/>
      <w:lvlJc w:val="left"/>
      <w:pPr>
        <w:ind w:left="530" w:hanging="530"/>
      </w:pPr>
      <w:rPr>
        <w:rFonts w:hint="default"/>
      </w:rPr>
    </w:lvl>
  </w:abstractNum>
  <w:abstractNum w:abstractNumId="37">
    <w:nsid w:val="7D987E30"/>
    <w:multiLevelType w:val="multilevel"/>
    <w:tmpl w:val="7D987E30"/>
    <w:lvl w:ilvl="0" w:tentative="0">
      <w:start w:val="1"/>
      <w:numFmt w:val="decimal"/>
      <w:lvlText w:val="2.4.%1"/>
      <w:lvlJc w:val="left"/>
      <w:pPr>
        <w:ind w:left="420" w:hanging="42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F233CC6"/>
    <w:multiLevelType w:val="multilevel"/>
    <w:tmpl w:val="7F233CC6"/>
    <w:lvl w:ilvl="0" w:tentative="0">
      <w:start w:val="1"/>
      <w:numFmt w:val="decimal"/>
      <w:lvlText w:val="8.2.%1"/>
      <w:lvlJc w:val="left"/>
      <w:pPr>
        <w:ind w:left="420" w:hanging="420"/>
      </w:pPr>
      <w:rPr>
        <w:rFonts w:hint="eastAsia"/>
      </w:r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2"/>
  </w:num>
  <w:num w:numId="3">
    <w:abstractNumId w:val="29"/>
  </w:num>
  <w:num w:numId="4">
    <w:abstractNumId w:val="4"/>
  </w:num>
  <w:num w:numId="5">
    <w:abstractNumId w:val="17"/>
  </w:num>
  <w:num w:numId="6">
    <w:abstractNumId w:val="9"/>
  </w:num>
  <w:num w:numId="7">
    <w:abstractNumId w:val="18"/>
  </w:num>
  <w:num w:numId="8">
    <w:abstractNumId w:val="16"/>
  </w:num>
  <w:num w:numId="9">
    <w:abstractNumId w:val="28"/>
  </w:num>
  <w:num w:numId="10">
    <w:abstractNumId w:val="7"/>
  </w:num>
  <w:num w:numId="11">
    <w:abstractNumId w:val="1"/>
  </w:num>
  <w:num w:numId="12">
    <w:abstractNumId w:val="37"/>
  </w:num>
  <w:num w:numId="13">
    <w:abstractNumId w:val="34"/>
  </w:num>
  <w:num w:numId="14">
    <w:abstractNumId w:val="14"/>
  </w:num>
  <w:num w:numId="15">
    <w:abstractNumId w:val="5"/>
  </w:num>
  <w:num w:numId="16">
    <w:abstractNumId w:val="33"/>
  </w:num>
  <w:num w:numId="17">
    <w:abstractNumId w:val="35"/>
  </w:num>
  <w:num w:numId="18">
    <w:abstractNumId w:val="25"/>
  </w:num>
  <w:num w:numId="19">
    <w:abstractNumId w:val="24"/>
  </w:num>
  <w:num w:numId="20">
    <w:abstractNumId w:val="21"/>
  </w:num>
  <w:num w:numId="21">
    <w:abstractNumId w:val="15"/>
  </w:num>
  <w:num w:numId="22">
    <w:abstractNumId w:val="12"/>
  </w:num>
  <w:num w:numId="23">
    <w:abstractNumId w:val="27"/>
  </w:num>
  <w:num w:numId="24">
    <w:abstractNumId w:val="8"/>
  </w:num>
  <w:num w:numId="25">
    <w:abstractNumId w:val="26"/>
  </w:num>
  <w:num w:numId="26">
    <w:abstractNumId w:val="19"/>
  </w:num>
  <w:num w:numId="27">
    <w:abstractNumId w:val="6"/>
  </w:num>
  <w:num w:numId="28">
    <w:abstractNumId w:val="32"/>
  </w:num>
  <w:num w:numId="29">
    <w:abstractNumId w:val="20"/>
  </w:num>
  <w:num w:numId="30">
    <w:abstractNumId w:val="38"/>
  </w:num>
  <w:num w:numId="31">
    <w:abstractNumId w:val="30"/>
  </w:num>
  <w:num w:numId="32">
    <w:abstractNumId w:val="11"/>
  </w:num>
  <w:num w:numId="33">
    <w:abstractNumId w:val="31"/>
  </w:num>
  <w:num w:numId="34">
    <w:abstractNumId w:val="23"/>
  </w:num>
  <w:num w:numId="35">
    <w:abstractNumId w:val="13"/>
  </w:num>
  <w:num w:numId="36">
    <w:abstractNumId w:val="22"/>
  </w:num>
  <w:num w:numId="37">
    <w:abstractNumId w:val="36"/>
  </w:num>
  <w:num w:numId="38">
    <w:abstractNumId w:val="3"/>
  </w:num>
  <w:num w:numId="3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ndy">
    <w15:presenceInfo w15:providerId="WPS Office" w15:userId="2889353313"/>
  </w15:person>
  <w15:person w15:author="qq">
    <w15:presenceInfo w15:providerId="None" w15:userId="q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ocumentProtection w:enforcement="0"/>
  <w:defaultTabStop w:val="420"/>
  <w:drawingGridHorizontalSpacing w:val="120"/>
  <w:drawingGridVerticalSpacing w:val="163"/>
  <w:noPunctuationKerning w:val="1"/>
  <w:characterSpacingControl w:val="doNotCompress"/>
  <w:doNotValidateAgainstSchema/>
  <w:doNotDemarcateInvalidXml/>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077"/>
    <w:rsid w:val="0000132A"/>
    <w:rsid w:val="00001D97"/>
    <w:rsid w:val="0000234C"/>
    <w:rsid w:val="00002540"/>
    <w:rsid w:val="00002ECA"/>
    <w:rsid w:val="0000387A"/>
    <w:rsid w:val="0000421B"/>
    <w:rsid w:val="00004668"/>
    <w:rsid w:val="0000484B"/>
    <w:rsid w:val="0000507A"/>
    <w:rsid w:val="000055CA"/>
    <w:rsid w:val="0000568D"/>
    <w:rsid w:val="0000577C"/>
    <w:rsid w:val="00005859"/>
    <w:rsid w:val="00005FE9"/>
    <w:rsid w:val="000068E6"/>
    <w:rsid w:val="00006AFA"/>
    <w:rsid w:val="00006C7E"/>
    <w:rsid w:val="0000721A"/>
    <w:rsid w:val="000110AF"/>
    <w:rsid w:val="00011B75"/>
    <w:rsid w:val="0001237C"/>
    <w:rsid w:val="00013585"/>
    <w:rsid w:val="00014526"/>
    <w:rsid w:val="00014C77"/>
    <w:rsid w:val="00016F58"/>
    <w:rsid w:val="000173CB"/>
    <w:rsid w:val="00021203"/>
    <w:rsid w:val="00021B5F"/>
    <w:rsid w:val="000230A8"/>
    <w:rsid w:val="00024435"/>
    <w:rsid w:val="00024EF2"/>
    <w:rsid w:val="000256DA"/>
    <w:rsid w:val="00025A0C"/>
    <w:rsid w:val="00025C8A"/>
    <w:rsid w:val="000267BB"/>
    <w:rsid w:val="000270AB"/>
    <w:rsid w:val="000273F3"/>
    <w:rsid w:val="00027907"/>
    <w:rsid w:val="00031B78"/>
    <w:rsid w:val="000372CF"/>
    <w:rsid w:val="00040D82"/>
    <w:rsid w:val="0004118C"/>
    <w:rsid w:val="0004187C"/>
    <w:rsid w:val="00041D1B"/>
    <w:rsid w:val="0004209C"/>
    <w:rsid w:val="000420B9"/>
    <w:rsid w:val="00042160"/>
    <w:rsid w:val="0004216A"/>
    <w:rsid w:val="0004255A"/>
    <w:rsid w:val="000439FA"/>
    <w:rsid w:val="00044A88"/>
    <w:rsid w:val="000454C3"/>
    <w:rsid w:val="00047E3E"/>
    <w:rsid w:val="0005059B"/>
    <w:rsid w:val="00050B93"/>
    <w:rsid w:val="0005175C"/>
    <w:rsid w:val="00051B58"/>
    <w:rsid w:val="00051F75"/>
    <w:rsid w:val="0005384B"/>
    <w:rsid w:val="00053AB3"/>
    <w:rsid w:val="00053FAD"/>
    <w:rsid w:val="00054332"/>
    <w:rsid w:val="00054967"/>
    <w:rsid w:val="00054DFB"/>
    <w:rsid w:val="000551DE"/>
    <w:rsid w:val="00055221"/>
    <w:rsid w:val="0005626E"/>
    <w:rsid w:val="00056500"/>
    <w:rsid w:val="00056A80"/>
    <w:rsid w:val="000607D7"/>
    <w:rsid w:val="00062E36"/>
    <w:rsid w:val="00062E90"/>
    <w:rsid w:val="0006389C"/>
    <w:rsid w:val="00065446"/>
    <w:rsid w:val="00065900"/>
    <w:rsid w:val="00065B2D"/>
    <w:rsid w:val="00066019"/>
    <w:rsid w:val="00066474"/>
    <w:rsid w:val="0006685D"/>
    <w:rsid w:val="00067361"/>
    <w:rsid w:val="00070485"/>
    <w:rsid w:val="00070D19"/>
    <w:rsid w:val="00071BE2"/>
    <w:rsid w:val="00071D7F"/>
    <w:rsid w:val="00072419"/>
    <w:rsid w:val="000728D9"/>
    <w:rsid w:val="0007633B"/>
    <w:rsid w:val="000778C4"/>
    <w:rsid w:val="00077AA9"/>
    <w:rsid w:val="00080376"/>
    <w:rsid w:val="00080BF8"/>
    <w:rsid w:val="00081B18"/>
    <w:rsid w:val="00081F0D"/>
    <w:rsid w:val="000820B9"/>
    <w:rsid w:val="000840B1"/>
    <w:rsid w:val="000861D7"/>
    <w:rsid w:val="00086B93"/>
    <w:rsid w:val="0008777B"/>
    <w:rsid w:val="00087B31"/>
    <w:rsid w:val="00087BD1"/>
    <w:rsid w:val="00087CE0"/>
    <w:rsid w:val="00090209"/>
    <w:rsid w:val="000905C0"/>
    <w:rsid w:val="0009266C"/>
    <w:rsid w:val="00093618"/>
    <w:rsid w:val="000937DB"/>
    <w:rsid w:val="00093D20"/>
    <w:rsid w:val="0009576D"/>
    <w:rsid w:val="00095960"/>
    <w:rsid w:val="00096F85"/>
    <w:rsid w:val="00097487"/>
    <w:rsid w:val="000979CA"/>
    <w:rsid w:val="000A00C2"/>
    <w:rsid w:val="000A034F"/>
    <w:rsid w:val="000A1662"/>
    <w:rsid w:val="000A372F"/>
    <w:rsid w:val="000A3811"/>
    <w:rsid w:val="000A45AA"/>
    <w:rsid w:val="000A484A"/>
    <w:rsid w:val="000A5203"/>
    <w:rsid w:val="000A673B"/>
    <w:rsid w:val="000A6A5D"/>
    <w:rsid w:val="000A7F02"/>
    <w:rsid w:val="000B0969"/>
    <w:rsid w:val="000B27E4"/>
    <w:rsid w:val="000B2AF6"/>
    <w:rsid w:val="000B3093"/>
    <w:rsid w:val="000B3294"/>
    <w:rsid w:val="000B4419"/>
    <w:rsid w:val="000B480B"/>
    <w:rsid w:val="000B4B61"/>
    <w:rsid w:val="000B4E4E"/>
    <w:rsid w:val="000B521E"/>
    <w:rsid w:val="000B5453"/>
    <w:rsid w:val="000B581A"/>
    <w:rsid w:val="000B5865"/>
    <w:rsid w:val="000B5AA2"/>
    <w:rsid w:val="000B5D2C"/>
    <w:rsid w:val="000B61A6"/>
    <w:rsid w:val="000B6362"/>
    <w:rsid w:val="000B7D9B"/>
    <w:rsid w:val="000C042D"/>
    <w:rsid w:val="000C3B42"/>
    <w:rsid w:val="000C452D"/>
    <w:rsid w:val="000C4C03"/>
    <w:rsid w:val="000C4E6C"/>
    <w:rsid w:val="000C4EBD"/>
    <w:rsid w:val="000C55A9"/>
    <w:rsid w:val="000C5AC8"/>
    <w:rsid w:val="000C5DAF"/>
    <w:rsid w:val="000C6A18"/>
    <w:rsid w:val="000C6FEA"/>
    <w:rsid w:val="000C70CC"/>
    <w:rsid w:val="000C7AA6"/>
    <w:rsid w:val="000C7CFB"/>
    <w:rsid w:val="000D03DF"/>
    <w:rsid w:val="000D0422"/>
    <w:rsid w:val="000D0FE6"/>
    <w:rsid w:val="000D19A3"/>
    <w:rsid w:val="000D23B0"/>
    <w:rsid w:val="000D2A79"/>
    <w:rsid w:val="000D345D"/>
    <w:rsid w:val="000D3967"/>
    <w:rsid w:val="000D3D1F"/>
    <w:rsid w:val="000D55D6"/>
    <w:rsid w:val="000D5983"/>
    <w:rsid w:val="000D657B"/>
    <w:rsid w:val="000D659A"/>
    <w:rsid w:val="000D695D"/>
    <w:rsid w:val="000D69EA"/>
    <w:rsid w:val="000D6F70"/>
    <w:rsid w:val="000D7843"/>
    <w:rsid w:val="000E0E28"/>
    <w:rsid w:val="000E1130"/>
    <w:rsid w:val="000E1178"/>
    <w:rsid w:val="000E137C"/>
    <w:rsid w:val="000E1D94"/>
    <w:rsid w:val="000E1FF8"/>
    <w:rsid w:val="000E31F7"/>
    <w:rsid w:val="000E3AF0"/>
    <w:rsid w:val="000E54C1"/>
    <w:rsid w:val="000E6571"/>
    <w:rsid w:val="000E6584"/>
    <w:rsid w:val="000E7B8D"/>
    <w:rsid w:val="000E7FEF"/>
    <w:rsid w:val="000F1FC3"/>
    <w:rsid w:val="000F2890"/>
    <w:rsid w:val="000F34CD"/>
    <w:rsid w:val="000F3754"/>
    <w:rsid w:val="000F3A18"/>
    <w:rsid w:val="000F42D3"/>
    <w:rsid w:val="000F5221"/>
    <w:rsid w:val="000F5942"/>
    <w:rsid w:val="000F6184"/>
    <w:rsid w:val="000F67C5"/>
    <w:rsid w:val="000F6F9B"/>
    <w:rsid w:val="000F732F"/>
    <w:rsid w:val="000F7F65"/>
    <w:rsid w:val="00101AF9"/>
    <w:rsid w:val="00101BD5"/>
    <w:rsid w:val="00101CED"/>
    <w:rsid w:val="00101F11"/>
    <w:rsid w:val="00101FF4"/>
    <w:rsid w:val="001026AA"/>
    <w:rsid w:val="001033AA"/>
    <w:rsid w:val="00103581"/>
    <w:rsid w:val="00103659"/>
    <w:rsid w:val="00103918"/>
    <w:rsid w:val="00103CAA"/>
    <w:rsid w:val="001040E2"/>
    <w:rsid w:val="00104302"/>
    <w:rsid w:val="00105C32"/>
    <w:rsid w:val="00105FC8"/>
    <w:rsid w:val="001060E8"/>
    <w:rsid w:val="0010616A"/>
    <w:rsid w:val="00106ADF"/>
    <w:rsid w:val="0010767F"/>
    <w:rsid w:val="00107A87"/>
    <w:rsid w:val="0011066C"/>
    <w:rsid w:val="001108B7"/>
    <w:rsid w:val="0011166D"/>
    <w:rsid w:val="00112523"/>
    <w:rsid w:val="00112972"/>
    <w:rsid w:val="0011316E"/>
    <w:rsid w:val="00113AE2"/>
    <w:rsid w:val="00114323"/>
    <w:rsid w:val="00114697"/>
    <w:rsid w:val="00115818"/>
    <w:rsid w:val="00115C6F"/>
    <w:rsid w:val="00116E19"/>
    <w:rsid w:val="0011767A"/>
    <w:rsid w:val="00117D91"/>
    <w:rsid w:val="00117F06"/>
    <w:rsid w:val="00117F64"/>
    <w:rsid w:val="0012084B"/>
    <w:rsid w:val="00120D37"/>
    <w:rsid w:val="00120FCE"/>
    <w:rsid w:val="001214BD"/>
    <w:rsid w:val="00121C75"/>
    <w:rsid w:val="00122A6B"/>
    <w:rsid w:val="00123AA6"/>
    <w:rsid w:val="00123B1F"/>
    <w:rsid w:val="001242EF"/>
    <w:rsid w:val="00126998"/>
    <w:rsid w:val="00126BCD"/>
    <w:rsid w:val="00127E1F"/>
    <w:rsid w:val="00130715"/>
    <w:rsid w:val="001308BC"/>
    <w:rsid w:val="00130D8A"/>
    <w:rsid w:val="00130E57"/>
    <w:rsid w:val="00131076"/>
    <w:rsid w:val="0013239C"/>
    <w:rsid w:val="00132ACB"/>
    <w:rsid w:val="00132F6F"/>
    <w:rsid w:val="001351C3"/>
    <w:rsid w:val="00135245"/>
    <w:rsid w:val="0013524D"/>
    <w:rsid w:val="00135417"/>
    <w:rsid w:val="001363BB"/>
    <w:rsid w:val="001377FE"/>
    <w:rsid w:val="00137B82"/>
    <w:rsid w:val="00141133"/>
    <w:rsid w:val="0014122E"/>
    <w:rsid w:val="00141FF7"/>
    <w:rsid w:val="00142299"/>
    <w:rsid w:val="001449E6"/>
    <w:rsid w:val="0014503A"/>
    <w:rsid w:val="0014662C"/>
    <w:rsid w:val="00147066"/>
    <w:rsid w:val="0014711A"/>
    <w:rsid w:val="00147F40"/>
    <w:rsid w:val="00150DEF"/>
    <w:rsid w:val="0015101B"/>
    <w:rsid w:val="001517E5"/>
    <w:rsid w:val="00152506"/>
    <w:rsid w:val="00152C13"/>
    <w:rsid w:val="00152E8F"/>
    <w:rsid w:val="0015418F"/>
    <w:rsid w:val="00154842"/>
    <w:rsid w:val="00154E86"/>
    <w:rsid w:val="001550F7"/>
    <w:rsid w:val="00156382"/>
    <w:rsid w:val="00156DBD"/>
    <w:rsid w:val="00156E48"/>
    <w:rsid w:val="00156EC2"/>
    <w:rsid w:val="00157454"/>
    <w:rsid w:val="001611C7"/>
    <w:rsid w:val="00161907"/>
    <w:rsid w:val="00161D2F"/>
    <w:rsid w:val="00162457"/>
    <w:rsid w:val="001634A8"/>
    <w:rsid w:val="00163CC0"/>
    <w:rsid w:val="001642E4"/>
    <w:rsid w:val="001651F1"/>
    <w:rsid w:val="00167126"/>
    <w:rsid w:val="00170E64"/>
    <w:rsid w:val="00171D0B"/>
    <w:rsid w:val="00172A27"/>
    <w:rsid w:val="001730EC"/>
    <w:rsid w:val="00174502"/>
    <w:rsid w:val="00174F48"/>
    <w:rsid w:val="001759E8"/>
    <w:rsid w:val="0017689E"/>
    <w:rsid w:val="00177484"/>
    <w:rsid w:val="00177510"/>
    <w:rsid w:val="00180124"/>
    <w:rsid w:val="00180F29"/>
    <w:rsid w:val="00180F2C"/>
    <w:rsid w:val="0018105B"/>
    <w:rsid w:val="00182A6D"/>
    <w:rsid w:val="00182E7E"/>
    <w:rsid w:val="00183063"/>
    <w:rsid w:val="001831B9"/>
    <w:rsid w:val="0018389E"/>
    <w:rsid w:val="0018393B"/>
    <w:rsid w:val="001839C7"/>
    <w:rsid w:val="00183ECC"/>
    <w:rsid w:val="001854DA"/>
    <w:rsid w:val="0018586E"/>
    <w:rsid w:val="00185C54"/>
    <w:rsid w:val="00186AB5"/>
    <w:rsid w:val="00186EA7"/>
    <w:rsid w:val="001875A3"/>
    <w:rsid w:val="00190922"/>
    <w:rsid w:val="00190B4F"/>
    <w:rsid w:val="00190C58"/>
    <w:rsid w:val="0019214D"/>
    <w:rsid w:val="00192175"/>
    <w:rsid w:val="00193183"/>
    <w:rsid w:val="00193402"/>
    <w:rsid w:val="001943CF"/>
    <w:rsid w:val="00194A71"/>
    <w:rsid w:val="00194BDB"/>
    <w:rsid w:val="00195E30"/>
    <w:rsid w:val="001969DB"/>
    <w:rsid w:val="001A090C"/>
    <w:rsid w:val="001A1043"/>
    <w:rsid w:val="001A13D4"/>
    <w:rsid w:val="001A28A2"/>
    <w:rsid w:val="001A4D54"/>
    <w:rsid w:val="001A6723"/>
    <w:rsid w:val="001A7F52"/>
    <w:rsid w:val="001B13FF"/>
    <w:rsid w:val="001B16A2"/>
    <w:rsid w:val="001B195F"/>
    <w:rsid w:val="001B1ECC"/>
    <w:rsid w:val="001B1F51"/>
    <w:rsid w:val="001B271E"/>
    <w:rsid w:val="001B3AB3"/>
    <w:rsid w:val="001B402D"/>
    <w:rsid w:val="001B42F5"/>
    <w:rsid w:val="001B6A66"/>
    <w:rsid w:val="001B7344"/>
    <w:rsid w:val="001B7772"/>
    <w:rsid w:val="001C077B"/>
    <w:rsid w:val="001C1352"/>
    <w:rsid w:val="001C2320"/>
    <w:rsid w:val="001C27A8"/>
    <w:rsid w:val="001C28B0"/>
    <w:rsid w:val="001C3329"/>
    <w:rsid w:val="001C5265"/>
    <w:rsid w:val="001C5E52"/>
    <w:rsid w:val="001C6D79"/>
    <w:rsid w:val="001D0BEE"/>
    <w:rsid w:val="001D21B1"/>
    <w:rsid w:val="001D25E2"/>
    <w:rsid w:val="001D2A7F"/>
    <w:rsid w:val="001D42BF"/>
    <w:rsid w:val="001D43D9"/>
    <w:rsid w:val="001D4F97"/>
    <w:rsid w:val="001D5D04"/>
    <w:rsid w:val="001D67AA"/>
    <w:rsid w:val="001D6A86"/>
    <w:rsid w:val="001D7258"/>
    <w:rsid w:val="001D7FC3"/>
    <w:rsid w:val="001E030E"/>
    <w:rsid w:val="001E0B08"/>
    <w:rsid w:val="001E0DA9"/>
    <w:rsid w:val="001E1186"/>
    <w:rsid w:val="001E1E03"/>
    <w:rsid w:val="001E2138"/>
    <w:rsid w:val="001E2892"/>
    <w:rsid w:val="001E42FF"/>
    <w:rsid w:val="001E505B"/>
    <w:rsid w:val="001E5F23"/>
    <w:rsid w:val="001E6008"/>
    <w:rsid w:val="001E6192"/>
    <w:rsid w:val="001E76CD"/>
    <w:rsid w:val="001F0C87"/>
    <w:rsid w:val="001F1631"/>
    <w:rsid w:val="001F260B"/>
    <w:rsid w:val="001F262D"/>
    <w:rsid w:val="001F27A6"/>
    <w:rsid w:val="001F3F1E"/>
    <w:rsid w:val="001F4B85"/>
    <w:rsid w:val="001F4CA2"/>
    <w:rsid w:val="001F6E82"/>
    <w:rsid w:val="001F74DA"/>
    <w:rsid w:val="001F7FEF"/>
    <w:rsid w:val="00200DC6"/>
    <w:rsid w:val="00201246"/>
    <w:rsid w:val="00201409"/>
    <w:rsid w:val="0020184B"/>
    <w:rsid w:val="00201E00"/>
    <w:rsid w:val="0020342B"/>
    <w:rsid w:val="0020494B"/>
    <w:rsid w:val="00204EE3"/>
    <w:rsid w:val="00205FD9"/>
    <w:rsid w:val="00206160"/>
    <w:rsid w:val="00206B1B"/>
    <w:rsid w:val="002075D0"/>
    <w:rsid w:val="00207619"/>
    <w:rsid w:val="00210A6F"/>
    <w:rsid w:val="0021103B"/>
    <w:rsid w:val="00211226"/>
    <w:rsid w:val="00212E85"/>
    <w:rsid w:val="002131FB"/>
    <w:rsid w:val="0021403B"/>
    <w:rsid w:val="0021561E"/>
    <w:rsid w:val="002161FE"/>
    <w:rsid w:val="00216A5C"/>
    <w:rsid w:val="00216E42"/>
    <w:rsid w:val="00216EDB"/>
    <w:rsid w:val="002177B9"/>
    <w:rsid w:val="00220B13"/>
    <w:rsid w:val="00220BE9"/>
    <w:rsid w:val="00220D10"/>
    <w:rsid w:val="00220E97"/>
    <w:rsid w:val="002221DB"/>
    <w:rsid w:val="00222CE9"/>
    <w:rsid w:val="00223CD3"/>
    <w:rsid w:val="00224A4F"/>
    <w:rsid w:val="0022543E"/>
    <w:rsid w:val="00227C14"/>
    <w:rsid w:val="0023051B"/>
    <w:rsid w:val="00230549"/>
    <w:rsid w:val="0023070B"/>
    <w:rsid w:val="00232F38"/>
    <w:rsid w:val="0023304F"/>
    <w:rsid w:val="002330E3"/>
    <w:rsid w:val="00233C62"/>
    <w:rsid w:val="00233E45"/>
    <w:rsid w:val="00234635"/>
    <w:rsid w:val="002346A8"/>
    <w:rsid w:val="0023567B"/>
    <w:rsid w:val="00237728"/>
    <w:rsid w:val="00237753"/>
    <w:rsid w:val="0023789D"/>
    <w:rsid w:val="00237922"/>
    <w:rsid w:val="00240524"/>
    <w:rsid w:val="00240CB7"/>
    <w:rsid w:val="0024160B"/>
    <w:rsid w:val="002424F4"/>
    <w:rsid w:val="00243610"/>
    <w:rsid w:val="0024391A"/>
    <w:rsid w:val="00243E9B"/>
    <w:rsid w:val="00245085"/>
    <w:rsid w:val="002462B5"/>
    <w:rsid w:val="00246B6F"/>
    <w:rsid w:val="00246C21"/>
    <w:rsid w:val="002477FF"/>
    <w:rsid w:val="00247A6F"/>
    <w:rsid w:val="00250B26"/>
    <w:rsid w:val="00251441"/>
    <w:rsid w:val="002529BA"/>
    <w:rsid w:val="00252C02"/>
    <w:rsid w:val="00255CF3"/>
    <w:rsid w:val="0025690B"/>
    <w:rsid w:val="0025733A"/>
    <w:rsid w:val="00260563"/>
    <w:rsid w:val="0026161A"/>
    <w:rsid w:val="00262A36"/>
    <w:rsid w:val="00263FD9"/>
    <w:rsid w:val="00264D4F"/>
    <w:rsid w:val="00270EA5"/>
    <w:rsid w:val="00271E0B"/>
    <w:rsid w:val="00271F75"/>
    <w:rsid w:val="002721D4"/>
    <w:rsid w:val="00272499"/>
    <w:rsid w:val="00273509"/>
    <w:rsid w:val="0027563B"/>
    <w:rsid w:val="00275A67"/>
    <w:rsid w:val="00276027"/>
    <w:rsid w:val="002775A8"/>
    <w:rsid w:val="0028033C"/>
    <w:rsid w:val="0028099A"/>
    <w:rsid w:val="00280EFF"/>
    <w:rsid w:val="0028151E"/>
    <w:rsid w:val="00281599"/>
    <w:rsid w:val="0028267E"/>
    <w:rsid w:val="0028280B"/>
    <w:rsid w:val="00282E36"/>
    <w:rsid w:val="00284C03"/>
    <w:rsid w:val="00284FFC"/>
    <w:rsid w:val="00286C90"/>
    <w:rsid w:val="002872F9"/>
    <w:rsid w:val="0029057C"/>
    <w:rsid w:val="0029105F"/>
    <w:rsid w:val="002912D5"/>
    <w:rsid w:val="00291F0A"/>
    <w:rsid w:val="0029274E"/>
    <w:rsid w:val="0029496E"/>
    <w:rsid w:val="00296AE9"/>
    <w:rsid w:val="00296B85"/>
    <w:rsid w:val="0029759E"/>
    <w:rsid w:val="002A1067"/>
    <w:rsid w:val="002A1433"/>
    <w:rsid w:val="002A351B"/>
    <w:rsid w:val="002A39D2"/>
    <w:rsid w:val="002A48BC"/>
    <w:rsid w:val="002A4D86"/>
    <w:rsid w:val="002A554E"/>
    <w:rsid w:val="002A593B"/>
    <w:rsid w:val="002A62BB"/>
    <w:rsid w:val="002A6652"/>
    <w:rsid w:val="002A6EB6"/>
    <w:rsid w:val="002A7544"/>
    <w:rsid w:val="002A78BD"/>
    <w:rsid w:val="002B033F"/>
    <w:rsid w:val="002B0E1C"/>
    <w:rsid w:val="002B3C41"/>
    <w:rsid w:val="002B4295"/>
    <w:rsid w:val="002B61FD"/>
    <w:rsid w:val="002B73E5"/>
    <w:rsid w:val="002B783F"/>
    <w:rsid w:val="002C00DB"/>
    <w:rsid w:val="002C1387"/>
    <w:rsid w:val="002C247C"/>
    <w:rsid w:val="002C297C"/>
    <w:rsid w:val="002C333B"/>
    <w:rsid w:val="002C3ACE"/>
    <w:rsid w:val="002C6B9D"/>
    <w:rsid w:val="002D1877"/>
    <w:rsid w:val="002D20E4"/>
    <w:rsid w:val="002D29C0"/>
    <w:rsid w:val="002D2DAF"/>
    <w:rsid w:val="002D30DA"/>
    <w:rsid w:val="002D3C04"/>
    <w:rsid w:val="002D3FB6"/>
    <w:rsid w:val="002D42D3"/>
    <w:rsid w:val="002D46F8"/>
    <w:rsid w:val="002D4C3A"/>
    <w:rsid w:val="002D647B"/>
    <w:rsid w:val="002D6C1F"/>
    <w:rsid w:val="002D7B3E"/>
    <w:rsid w:val="002D7B98"/>
    <w:rsid w:val="002E04A2"/>
    <w:rsid w:val="002E0D2B"/>
    <w:rsid w:val="002E1166"/>
    <w:rsid w:val="002E126A"/>
    <w:rsid w:val="002E1F0B"/>
    <w:rsid w:val="002E31F4"/>
    <w:rsid w:val="002E4189"/>
    <w:rsid w:val="002E436B"/>
    <w:rsid w:val="002E5054"/>
    <w:rsid w:val="002E51C6"/>
    <w:rsid w:val="002E79E9"/>
    <w:rsid w:val="002F06A6"/>
    <w:rsid w:val="002F0C33"/>
    <w:rsid w:val="002F1AAD"/>
    <w:rsid w:val="002F2940"/>
    <w:rsid w:val="002F3351"/>
    <w:rsid w:val="002F3723"/>
    <w:rsid w:val="002F3DE3"/>
    <w:rsid w:val="002F4528"/>
    <w:rsid w:val="002F49A5"/>
    <w:rsid w:val="002F5204"/>
    <w:rsid w:val="002F5913"/>
    <w:rsid w:val="002F6709"/>
    <w:rsid w:val="002F6853"/>
    <w:rsid w:val="002F76F0"/>
    <w:rsid w:val="002F77F8"/>
    <w:rsid w:val="002F7F29"/>
    <w:rsid w:val="00300EEB"/>
    <w:rsid w:val="0030150F"/>
    <w:rsid w:val="00302024"/>
    <w:rsid w:val="00302173"/>
    <w:rsid w:val="00302850"/>
    <w:rsid w:val="00303A6B"/>
    <w:rsid w:val="00305675"/>
    <w:rsid w:val="00305D86"/>
    <w:rsid w:val="00307844"/>
    <w:rsid w:val="003113AD"/>
    <w:rsid w:val="003114FE"/>
    <w:rsid w:val="00311CA1"/>
    <w:rsid w:val="00312E7C"/>
    <w:rsid w:val="003136EE"/>
    <w:rsid w:val="00314642"/>
    <w:rsid w:val="00314DBD"/>
    <w:rsid w:val="00314FD5"/>
    <w:rsid w:val="0031529F"/>
    <w:rsid w:val="0031534D"/>
    <w:rsid w:val="00315CDC"/>
    <w:rsid w:val="00316BC6"/>
    <w:rsid w:val="00316BCA"/>
    <w:rsid w:val="00317774"/>
    <w:rsid w:val="00317A26"/>
    <w:rsid w:val="00317D7D"/>
    <w:rsid w:val="0032171C"/>
    <w:rsid w:val="00322249"/>
    <w:rsid w:val="003228A8"/>
    <w:rsid w:val="00323E46"/>
    <w:rsid w:val="00324F40"/>
    <w:rsid w:val="003266D9"/>
    <w:rsid w:val="003273A1"/>
    <w:rsid w:val="00327789"/>
    <w:rsid w:val="0033088B"/>
    <w:rsid w:val="003319F8"/>
    <w:rsid w:val="00332CEF"/>
    <w:rsid w:val="003348DC"/>
    <w:rsid w:val="00335509"/>
    <w:rsid w:val="00335E6A"/>
    <w:rsid w:val="00336659"/>
    <w:rsid w:val="00336DC2"/>
    <w:rsid w:val="0033757A"/>
    <w:rsid w:val="003376C0"/>
    <w:rsid w:val="00344EF7"/>
    <w:rsid w:val="003454DF"/>
    <w:rsid w:val="003458B7"/>
    <w:rsid w:val="0034679A"/>
    <w:rsid w:val="00347C69"/>
    <w:rsid w:val="0035036B"/>
    <w:rsid w:val="00351E5E"/>
    <w:rsid w:val="00352836"/>
    <w:rsid w:val="003537EF"/>
    <w:rsid w:val="00353BB5"/>
    <w:rsid w:val="00353F38"/>
    <w:rsid w:val="00354409"/>
    <w:rsid w:val="00354A61"/>
    <w:rsid w:val="00355D92"/>
    <w:rsid w:val="003568FA"/>
    <w:rsid w:val="00356919"/>
    <w:rsid w:val="00356E91"/>
    <w:rsid w:val="00357807"/>
    <w:rsid w:val="003639B4"/>
    <w:rsid w:val="00364125"/>
    <w:rsid w:val="003645FD"/>
    <w:rsid w:val="00364EF1"/>
    <w:rsid w:val="00365383"/>
    <w:rsid w:val="00365CB7"/>
    <w:rsid w:val="00365CDF"/>
    <w:rsid w:val="003662C3"/>
    <w:rsid w:val="003672B9"/>
    <w:rsid w:val="00367E84"/>
    <w:rsid w:val="00370783"/>
    <w:rsid w:val="003708F0"/>
    <w:rsid w:val="00372B24"/>
    <w:rsid w:val="00372B59"/>
    <w:rsid w:val="00372DC9"/>
    <w:rsid w:val="003743E1"/>
    <w:rsid w:val="00374865"/>
    <w:rsid w:val="00374FEE"/>
    <w:rsid w:val="00375DCE"/>
    <w:rsid w:val="00377125"/>
    <w:rsid w:val="003822B1"/>
    <w:rsid w:val="003823EC"/>
    <w:rsid w:val="0038255A"/>
    <w:rsid w:val="00383A8D"/>
    <w:rsid w:val="00384138"/>
    <w:rsid w:val="00384FDA"/>
    <w:rsid w:val="00385155"/>
    <w:rsid w:val="00385A21"/>
    <w:rsid w:val="003873C0"/>
    <w:rsid w:val="00390B18"/>
    <w:rsid w:val="003914AB"/>
    <w:rsid w:val="00391B02"/>
    <w:rsid w:val="00391B38"/>
    <w:rsid w:val="003923D5"/>
    <w:rsid w:val="00392ECF"/>
    <w:rsid w:val="00392F2B"/>
    <w:rsid w:val="003947CC"/>
    <w:rsid w:val="00395328"/>
    <w:rsid w:val="00395C9B"/>
    <w:rsid w:val="00396F44"/>
    <w:rsid w:val="003A1F52"/>
    <w:rsid w:val="003A27F4"/>
    <w:rsid w:val="003A317B"/>
    <w:rsid w:val="003A42ED"/>
    <w:rsid w:val="003A5896"/>
    <w:rsid w:val="003A5EA5"/>
    <w:rsid w:val="003A6840"/>
    <w:rsid w:val="003A766A"/>
    <w:rsid w:val="003A76FB"/>
    <w:rsid w:val="003A7939"/>
    <w:rsid w:val="003B0212"/>
    <w:rsid w:val="003B07E7"/>
    <w:rsid w:val="003B1F98"/>
    <w:rsid w:val="003B23AF"/>
    <w:rsid w:val="003B25D6"/>
    <w:rsid w:val="003B30CB"/>
    <w:rsid w:val="003B48DB"/>
    <w:rsid w:val="003B48E0"/>
    <w:rsid w:val="003B4F09"/>
    <w:rsid w:val="003B647E"/>
    <w:rsid w:val="003B6AD5"/>
    <w:rsid w:val="003B6EFC"/>
    <w:rsid w:val="003B74BF"/>
    <w:rsid w:val="003B7C22"/>
    <w:rsid w:val="003C1C65"/>
    <w:rsid w:val="003C2E69"/>
    <w:rsid w:val="003C3117"/>
    <w:rsid w:val="003C5AA8"/>
    <w:rsid w:val="003C66BB"/>
    <w:rsid w:val="003C67E2"/>
    <w:rsid w:val="003C74B2"/>
    <w:rsid w:val="003C7F5D"/>
    <w:rsid w:val="003D0889"/>
    <w:rsid w:val="003D1192"/>
    <w:rsid w:val="003D15C3"/>
    <w:rsid w:val="003D1B38"/>
    <w:rsid w:val="003D1E04"/>
    <w:rsid w:val="003D224A"/>
    <w:rsid w:val="003D238B"/>
    <w:rsid w:val="003D3741"/>
    <w:rsid w:val="003D3B09"/>
    <w:rsid w:val="003D4491"/>
    <w:rsid w:val="003D559E"/>
    <w:rsid w:val="003D5A75"/>
    <w:rsid w:val="003D6291"/>
    <w:rsid w:val="003D6A96"/>
    <w:rsid w:val="003D7416"/>
    <w:rsid w:val="003D788B"/>
    <w:rsid w:val="003D7C4A"/>
    <w:rsid w:val="003E2700"/>
    <w:rsid w:val="003E44EA"/>
    <w:rsid w:val="003E4D3C"/>
    <w:rsid w:val="003E698A"/>
    <w:rsid w:val="003E6DE1"/>
    <w:rsid w:val="003E6FD2"/>
    <w:rsid w:val="003E7A5D"/>
    <w:rsid w:val="003F04B5"/>
    <w:rsid w:val="003F0D30"/>
    <w:rsid w:val="003F0E5C"/>
    <w:rsid w:val="003F1259"/>
    <w:rsid w:val="003F1F33"/>
    <w:rsid w:val="003F21B5"/>
    <w:rsid w:val="003F2D55"/>
    <w:rsid w:val="003F393D"/>
    <w:rsid w:val="003F3C49"/>
    <w:rsid w:val="003F420F"/>
    <w:rsid w:val="003F4480"/>
    <w:rsid w:val="003F44FB"/>
    <w:rsid w:val="003F4E9B"/>
    <w:rsid w:val="003F5475"/>
    <w:rsid w:val="003F57BD"/>
    <w:rsid w:val="003F583A"/>
    <w:rsid w:val="003F59E6"/>
    <w:rsid w:val="003F650E"/>
    <w:rsid w:val="003F66D9"/>
    <w:rsid w:val="003F6F85"/>
    <w:rsid w:val="00401F78"/>
    <w:rsid w:val="004025E7"/>
    <w:rsid w:val="004029E7"/>
    <w:rsid w:val="00402ABB"/>
    <w:rsid w:val="00402E93"/>
    <w:rsid w:val="0040333A"/>
    <w:rsid w:val="00403FD3"/>
    <w:rsid w:val="00405E33"/>
    <w:rsid w:val="004065C1"/>
    <w:rsid w:val="00407004"/>
    <w:rsid w:val="00407B9C"/>
    <w:rsid w:val="00410FF5"/>
    <w:rsid w:val="00411365"/>
    <w:rsid w:val="00411A3B"/>
    <w:rsid w:val="00411AAD"/>
    <w:rsid w:val="00411B29"/>
    <w:rsid w:val="004121BA"/>
    <w:rsid w:val="00412667"/>
    <w:rsid w:val="004128CA"/>
    <w:rsid w:val="004143DB"/>
    <w:rsid w:val="00414AD9"/>
    <w:rsid w:val="00417142"/>
    <w:rsid w:val="00417206"/>
    <w:rsid w:val="0041748E"/>
    <w:rsid w:val="00417C7C"/>
    <w:rsid w:val="00417CED"/>
    <w:rsid w:val="004204FF"/>
    <w:rsid w:val="00420E19"/>
    <w:rsid w:val="00421265"/>
    <w:rsid w:val="00421453"/>
    <w:rsid w:val="00421EBA"/>
    <w:rsid w:val="004224A5"/>
    <w:rsid w:val="00422CEB"/>
    <w:rsid w:val="004230E3"/>
    <w:rsid w:val="004235C9"/>
    <w:rsid w:val="00424C88"/>
    <w:rsid w:val="0042539E"/>
    <w:rsid w:val="0042643F"/>
    <w:rsid w:val="00427245"/>
    <w:rsid w:val="00430025"/>
    <w:rsid w:val="004306FA"/>
    <w:rsid w:val="0043119E"/>
    <w:rsid w:val="00431822"/>
    <w:rsid w:val="0043291E"/>
    <w:rsid w:val="00432D45"/>
    <w:rsid w:val="0043340A"/>
    <w:rsid w:val="004335E9"/>
    <w:rsid w:val="004336D9"/>
    <w:rsid w:val="00433AE6"/>
    <w:rsid w:val="0043460B"/>
    <w:rsid w:val="00434A00"/>
    <w:rsid w:val="00435386"/>
    <w:rsid w:val="0043601E"/>
    <w:rsid w:val="00436296"/>
    <w:rsid w:val="004362AF"/>
    <w:rsid w:val="00436AF0"/>
    <w:rsid w:val="00436F00"/>
    <w:rsid w:val="00437643"/>
    <w:rsid w:val="00440E12"/>
    <w:rsid w:val="00442502"/>
    <w:rsid w:val="00442F55"/>
    <w:rsid w:val="00443743"/>
    <w:rsid w:val="00443FF5"/>
    <w:rsid w:val="004446FF"/>
    <w:rsid w:val="00445125"/>
    <w:rsid w:val="00445456"/>
    <w:rsid w:val="00445649"/>
    <w:rsid w:val="0044680B"/>
    <w:rsid w:val="00446947"/>
    <w:rsid w:val="00447DE2"/>
    <w:rsid w:val="004505B6"/>
    <w:rsid w:val="00451386"/>
    <w:rsid w:val="0045163F"/>
    <w:rsid w:val="00451FE4"/>
    <w:rsid w:val="004530D5"/>
    <w:rsid w:val="00453FE0"/>
    <w:rsid w:val="0045537E"/>
    <w:rsid w:val="00455B6E"/>
    <w:rsid w:val="0045707F"/>
    <w:rsid w:val="00457A1D"/>
    <w:rsid w:val="00457BEB"/>
    <w:rsid w:val="0046075F"/>
    <w:rsid w:val="00460E81"/>
    <w:rsid w:val="00462076"/>
    <w:rsid w:val="004631D2"/>
    <w:rsid w:val="00463201"/>
    <w:rsid w:val="00464E15"/>
    <w:rsid w:val="00465A1E"/>
    <w:rsid w:val="004667AE"/>
    <w:rsid w:val="00466FCB"/>
    <w:rsid w:val="004704A8"/>
    <w:rsid w:val="00470FA9"/>
    <w:rsid w:val="0047216A"/>
    <w:rsid w:val="00472F40"/>
    <w:rsid w:val="0047436D"/>
    <w:rsid w:val="0047572A"/>
    <w:rsid w:val="00475D66"/>
    <w:rsid w:val="00481727"/>
    <w:rsid w:val="004818A7"/>
    <w:rsid w:val="00482197"/>
    <w:rsid w:val="00483311"/>
    <w:rsid w:val="00483FEA"/>
    <w:rsid w:val="0048409A"/>
    <w:rsid w:val="004842DC"/>
    <w:rsid w:val="00484C6B"/>
    <w:rsid w:val="00485E78"/>
    <w:rsid w:val="00490484"/>
    <w:rsid w:val="00490826"/>
    <w:rsid w:val="00490DE3"/>
    <w:rsid w:val="00491E52"/>
    <w:rsid w:val="00492B5A"/>
    <w:rsid w:val="00493BB4"/>
    <w:rsid w:val="00493BE8"/>
    <w:rsid w:val="0049619C"/>
    <w:rsid w:val="00496374"/>
    <w:rsid w:val="00496659"/>
    <w:rsid w:val="00496671"/>
    <w:rsid w:val="004A007C"/>
    <w:rsid w:val="004A166F"/>
    <w:rsid w:val="004A1E03"/>
    <w:rsid w:val="004A3059"/>
    <w:rsid w:val="004A3064"/>
    <w:rsid w:val="004A3174"/>
    <w:rsid w:val="004A360A"/>
    <w:rsid w:val="004A4BBD"/>
    <w:rsid w:val="004A4E2B"/>
    <w:rsid w:val="004A7927"/>
    <w:rsid w:val="004A7D4B"/>
    <w:rsid w:val="004B1146"/>
    <w:rsid w:val="004B4B29"/>
    <w:rsid w:val="004B4E3F"/>
    <w:rsid w:val="004B60DE"/>
    <w:rsid w:val="004B64F6"/>
    <w:rsid w:val="004B6D9C"/>
    <w:rsid w:val="004C0888"/>
    <w:rsid w:val="004C0D28"/>
    <w:rsid w:val="004C21E0"/>
    <w:rsid w:val="004C2A14"/>
    <w:rsid w:val="004C2F51"/>
    <w:rsid w:val="004C3326"/>
    <w:rsid w:val="004C3D35"/>
    <w:rsid w:val="004C3DBF"/>
    <w:rsid w:val="004C4075"/>
    <w:rsid w:val="004C4174"/>
    <w:rsid w:val="004C4250"/>
    <w:rsid w:val="004C4CA1"/>
    <w:rsid w:val="004C6A17"/>
    <w:rsid w:val="004C6B2E"/>
    <w:rsid w:val="004C7E2E"/>
    <w:rsid w:val="004D04C0"/>
    <w:rsid w:val="004D0B7B"/>
    <w:rsid w:val="004D1565"/>
    <w:rsid w:val="004D184A"/>
    <w:rsid w:val="004D208B"/>
    <w:rsid w:val="004D2114"/>
    <w:rsid w:val="004D2A14"/>
    <w:rsid w:val="004D341F"/>
    <w:rsid w:val="004D49F9"/>
    <w:rsid w:val="004D4CC7"/>
    <w:rsid w:val="004D560F"/>
    <w:rsid w:val="004D5DCB"/>
    <w:rsid w:val="004D6C1C"/>
    <w:rsid w:val="004D71FB"/>
    <w:rsid w:val="004D7E21"/>
    <w:rsid w:val="004E0514"/>
    <w:rsid w:val="004E0574"/>
    <w:rsid w:val="004E0660"/>
    <w:rsid w:val="004E3AA6"/>
    <w:rsid w:val="004E3D54"/>
    <w:rsid w:val="004E4019"/>
    <w:rsid w:val="004E4A2A"/>
    <w:rsid w:val="004E4F78"/>
    <w:rsid w:val="004E664D"/>
    <w:rsid w:val="004E6CAF"/>
    <w:rsid w:val="004E6CD1"/>
    <w:rsid w:val="004E7AC3"/>
    <w:rsid w:val="004F0B69"/>
    <w:rsid w:val="004F10C1"/>
    <w:rsid w:val="004F1277"/>
    <w:rsid w:val="004F1320"/>
    <w:rsid w:val="004F141B"/>
    <w:rsid w:val="004F2E47"/>
    <w:rsid w:val="004F38D4"/>
    <w:rsid w:val="004F3F96"/>
    <w:rsid w:val="004F41C2"/>
    <w:rsid w:val="004F634E"/>
    <w:rsid w:val="004F6E46"/>
    <w:rsid w:val="005008BA"/>
    <w:rsid w:val="00501912"/>
    <w:rsid w:val="00501DA0"/>
    <w:rsid w:val="005023F1"/>
    <w:rsid w:val="0050285D"/>
    <w:rsid w:val="00503C0C"/>
    <w:rsid w:val="005048BF"/>
    <w:rsid w:val="00505B27"/>
    <w:rsid w:val="00506194"/>
    <w:rsid w:val="005077C7"/>
    <w:rsid w:val="00510393"/>
    <w:rsid w:val="005107A4"/>
    <w:rsid w:val="00510C05"/>
    <w:rsid w:val="005111EB"/>
    <w:rsid w:val="00512E97"/>
    <w:rsid w:val="00513037"/>
    <w:rsid w:val="0051347D"/>
    <w:rsid w:val="005134D3"/>
    <w:rsid w:val="005136E8"/>
    <w:rsid w:val="00513DF3"/>
    <w:rsid w:val="005148D0"/>
    <w:rsid w:val="00516787"/>
    <w:rsid w:val="0051707E"/>
    <w:rsid w:val="00517335"/>
    <w:rsid w:val="005204C1"/>
    <w:rsid w:val="00520B57"/>
    <w:rsid w:val="00520BD3"/>
    <w:rsid w:val="005227E9"/>
    <w:rsid w:val="00522A4E"/>
    <w:rsid w:val="00523F39"/>
    <w:rsid w:val="005265BF"/>
    <w:rsid w:val="00527F0F"/>
    <w:rsid w:val="00530179"/>
    <w:rsid w:val="00530406"/>
    <w:rsid w:val="00530A53"/>
    <w:rsid w:val="00532FF7"/>
    <w:rsid w:val="005331A5"/>
    <w:rsid w:val="005334D8"/>
    <w:rsid w:val="00534499"/>
    <w:rsid w:val="005344C2"/>
    <w:rsid w:val="00536BD8"/>
    <w:rsid w:val="005413EC"/>
    <w:rsid w:val="0054341B"/>
    <w:rsid w:val="00545205"/>
    <w:rsid w:val="005457D6"/>
    <w:rsid w:val="005462F3"/>
    <w:rsid w:val="00547998"/>
    <w:rsid w:val="005479DD"/>
    <w:rsid w:val="00550496"/>
    <w:rsid w:val="00550772"/>
    <w:rsid w:val="005518E3"/>
    <w:rsid w:val="00551A56"/>
    <w:rsid w:val="00551D7F"/>
    <w:rsid w:val="005520BD"/>
    <w:rsid w:val="00556A3B"/>
    <w:rsid w:val="00557377"/>
    <w:rsid w:val="005616BF"/>
    <w:rsid w:val="00561A14"/>
    <w:rsid w:val="00561FE9"/>
    <w:rsid w:val="005629A6"/>
    <w:rsid w:val="00563481"/>
    <w:rsid w:val="005635CB"/>
    <w:rsid w:val="00563E59"/>
    <w:rsid w:val="00564067"/>
    <w:rsid w:val="00565313"/>
    <w:rsid w:val="005653D8"/>
    <w:rsid w:val="0056607B"/>
    <w:rsid w:val="005663B8"/>
    <w:rsid w:val="00566A67"/>
    <w:rsid w:val="00567811"/>
    <w:rsid w:val="00570C6D"/>
    <w:rsid w:val="0057158B"/>
    <w:rsid w:val="00572017"/>
    <w:rsid w:val="005747CA"/>
    <w:rsid w:val="00574BC2"/>
    <w:rsid w:val="005760FD"/>
    <w:rsid w:val="00576CC5"/>
    <w:rsid w:val="00576CCF"/>
    <w:rsid w:val="00580E41"/>
    <w:rsid w:val="005817D5"/>
    <w:rsid w:val="00581C0F"/>
    <w:rsid w:val="0058265C"/>
    <w:rsid w:val="005826A7"/>
    <w:rsid w:val="00582C55"/>
    <w:rsid w:val="00582EC3"/>
    <w:rsid w:val="005835CC"/>
    <w:rsid w:val="00583DB9"/>
    <w:rsid w:val="00584C69"/>
    <w:rsid w:val="005863A0"/>
    <w:rsid w:val="005868EE"/>
    <w:rsid w:val="00586D38"/>
    <w:rsid w:val="005900F7"/>
    <w:rsid w:val="00590AAA"/>
    <w:rsid w:val="00590B62"/>
    <w:rsid w:val="005920B4"/>
    <w:rsid w:val="00592219"/>
    <w:rsid w:val="00592F63"/>
    <w:rsid w:val="00593BC1"/>
    <w:rsid w:val="00594410"/>
    <w:rsid w:val="0059493A"/>
    <w:rsid w:val="0059500B"/>
    <w:rsid w:val="0059516C"/>
    <w:rsid w:val="0059584E"/>
    <w:rsid w:val="00595911"/>
    <w:rsid w:val="00595AF0"/>
    <w:rsid w:val="00596CE5"/>
    <w:rsid w:val="005A206C"/>
    <w:rsid w:val="005A220C"/>
    <w:rsid w:val="005A23B6"/>
    <w:rsid w:val="005A292C"/>
    <w:rsid w:val="005A2D9B"/>
    <w:rsid w:val="005A3445"/>
    <w:rsid w:val="005A35C1"/>
    <w:rsid w:val="005A5DCB"/>
    <w:rsid w:val="005A6248"/>
    <w:rsid w:val="005A6767"/>
    <w:rsid w:val="005B1AD8"/>
    <w:rsid w:val="005B26F8"/>
    <w:rsid w:val="005B4673"/>
    <w:rsid w:val="005B4893"/>
    <w:rsid w:val="005B5093"/>
    <w:rsid w:val="005B525D"/>
    <w:rsid w:val="005B5636"/>
    <w:rsid w:val="005B5DB6"/>
    <w:rsid w:val="005B6A87"/>
    <w:rsid w:val="005B6CDD"/>
    <w:rsid w:val="005C02F0"/>
    <w:rsid w:val="005C0A80"/>
    <w:rsid w:val="005C0AF6"/>
    <w:rsid w:val="005C16B1"/>
    <w:rsid w:val="005C1C40"/>
    <w:rsid w:val="005C1F84"/>
    <w:rsid w:val="005C2CD7"/>
    <w:rsid w:val="005C35FC"/>
    <w:rsid w:val="005C361C"/>
    <w:rsid w:val="005C3766"/>
    <w:rsid w:val="005C37CC"/>
    <w:rsid w:val="005C6C41"/>
    <w:rsid w:val="005D0B24"/>
    <w:rsid w:val="005D14E8"/>
    <w:rsid w:val="005D29FF"/>
    <w:rsid w:val="005D3653"/>
    <w:rsid w:val="005D4216"/>
    <w:rsid w:val="005D459A"/>
    <w:rsid w:val="005D4AAD"/>
    <w:rsid w:val="005D53E6"/>
    <w:rsid w:val="005D6A8D"/>
    <w:rsid w:val="005D6B27"/>
    <w:rsid w:val="005D7453"/>
    <w:rsid w:val="005D766A"/>
    <w:rsid w:val="005D7C5C"/>
    <w:rsid w:val="005D7FB1"/>
    <w:rsid w:val="005E0FD7"/>
    <w:rsid w:val="005E2A52"/>
    <w:rsid w:val="005E39D4"/>
    <w:rsid w:val="005E3AEF"/>
    <w:rsid w:val="005E5695"/>
    <w:rsid w:val="005E6D53"/>
    <w:rsid w:val="005E7B3B"/>
    <w:rsid w:val="005F13BE"/>
    <w:rsid w:val="005F2D46"/>
    <w:rsid w:val="005F3394"/>
    <w:rsid w:val="005F3B80"/>
    <w:rsid w:val="005F42E2"/>
    <w:rsid w:val="005F4DC6"/>
    <w:rsid w:val="005F55EE"/>
    <w:rsid w:val="005F5909"/>
    <w:rsid w:val="005F73A5"/>
    <w:rsid w:val="005F7A54"/>
    <w:rsid w:val="00601205"/>
    <w:rsid w:val="00601563"/>
    <w:rsid w:val="00603114"/>
    <w:rsid w:val="0060456A"/>
    <w:rsid w:val="006057AD"/>
    <w:rsid w:val="00606395"/>
    <w:rsid w:val="00607398"/>
    <w:rsid w:val="006076CB"/>
    <w:rsid w:val="006106DC"/>
    <w:rsid w:val="00610E25"/>
    <w:rsid w:val="0061200C"/>
    <w:rsid w:val="00613F44"/>
    <w:rsid w:val="0061451D"/>
    <w:rsid w:val="006150AB"/>
    <w:rsid w:val="0061515F"/>
    <w:rsid w:val="0061584C"/>
    <w:rsid w:val="00616318"/>
    <w:rsid w:val="0062065D"/>
    <w:rsid w:val="00621159"/>
    <w:rsid w:val="00621A05"/>
    <w:rsid w:val="00622601"/>
    <w:rsid w:val="00622CBF"/>
    <w:rsid w:val="006235A3"/>
    <w:rsid w:val="00623964"/>
    <w:rsid w:val="00623E75"/>
    <w:rsid w:val="00624006"/>
    <w:rsid w:val="00625671"/>
    <w:rsid w:val="00626981"/>
    <w:rsid w:val="00626B6E"/>
    <w:rsid w:val="00627CB2"/>
    <w:rsid w:val="00630053"/>
    <w:rsid w:val="006302FE"/>
    <w:rsid w:val="006319F0"/>
    <w:rsid w:val="00631CA8"/>
    <w:rsid w:val="00632200"/>
    <w:rsid w:val="006327A7"/>
    <w:rsid w:val="00632886"/>
    <w:rsid w:val="00632E75"/>
    <w:rsid w:val="00632FA5"/>
    <w:rsid w:val="006331A9"/>
    <w:rsid w:val="00633312"/>
    <w:rsid w:val="00633823"/>
    <w:rsid w:val="0063490E"/>
    <w:rsid w:val="00635307"/>
    <w:rsid w:val="0063760A"/>
    <w:rsid w:val="00637705"/>
    <w:rsid w:val="00640FED"/>
    <w:rsid w:val="00643E96"/>
    <w:rsid w:val="00644DF8"/>
    <w:rsid w:val="00645AD0"/>
    <w:rsid w:val="006460D6"/>
    <w:rsid w:val="00646AA0"/>
    <w:rsid w:val="0064731B"/>
    <w:rsid w:val="0064770F"/>
    <w:rsid w:val="00647AB3"/>
    <w:rsid w:val="00647FF8"/>
    <w:rsid w:val="0065220B"/>
    <w:rsid w:val="006527F4"/>
    <w:rsid w:val="00652B9A"/>
    <w:rsid w:val="00652F14"/>
    <w:rsid w:val="0065389D"/>
    <w:rsid w:val="00653C86"/>
    <w:rsid w:val="00654A37"/>
    <w:rsid w:val="00654EEB"/>
    <w:rsid w:val="0065522A"/>
    <w:rsid w:val="0065545A"/>
    <w:rsid w:val="00655A0F"/>
    <w:rsid w:val="00656556"/>
    <w:rsid w:val="006565C1"/>
    <w:rsid w:val="00656632"/>
    <w:rsid w:val="006567EB"/>
    <w:rsid w:val="00657378"/>
    <w:rsid w:val="00660553"/>
    <w:rsid w:val="00661CCE"/>
    <w:rsid w:val="00662589"/>
    <w:rsid w:val="0066272C"/>
    <w:rsid w:val="00662797"/>
    <w:rsid w:val="00662C9A"/>
    <w:rsid w:val="00662D9E"/>
    <w:rsid w:val="0066393D"/>
    <w:rsid w:val="006642BD"/>
    <w:rsid w:val="00666513"/>
    <w:rsid w:val="00666699"/>
    <w:rsid w:val="00666D40"/>
    <w:rsid w:val="006676AD"/>
    <w:rsid w:val="00667F52"/>
    <w:rsid w:val="006705AA"/>
    <w:rsid w:val="00670BBA"/>
    <w:rsid w:val="006717E2"/>
    <w:rsid w:val="00673D41"/>
    <w:rsid w:val="00674EC9"/>
    <w:rsid w:val="00674FFE"/>
    <w:rsid w:val="0067544E"/>
    <w:rsid w:val="00676050"/>
    <w:rsid w:val="00676D8A"/>
    <w:rsid w:val="0068015C"/>
    <w:rsid w:val="00680B75"/>
    <w:rsid w:val="0068107A"/>
    <w:rsid w:val="00681F57"/>
    <w:rsid w:val="00682B21"/>
    <w:rsid w:val="00682B9B"/>
    <w:rsid w:val="00684474"/>
    <w:rsid w:val="00684636"/>
    <w:rsid w:val="00684A5F"/>
    <w:rsid w:val="00684DE8"/>
    <w:rsid w:val="00686BBE"/>
    <w:rsid w:val="006904B3"/>
    <w:rsid w:val="00690B96"/>
    <w:rsid w:val="0069158B"/>
    <w:rsid w:val="0069164A"/>
    <w:rsid w:val="006924EC"/>
    <w:rsid w:val="006927CB"/>
    <w:rsid w:val="006938D5"/>
    <w:rsid w:val="00694B12"/>
    <w:rsid w:val="0069566F"/>
    <w:rsid w:val="006956BE"/>
    <w:rsid w:val="00695FCF"/>
    <w:rsid w:val="00696C74"/>
    <w:rsid w:val="00697596"/>
    <w:rsid w:val="006A020B"/>
    <w:rsid w:val="006A02E1"/>
    <w:rsid w:val="006A21F6"/>
    <w:rsid w:val="006A2BC7"/>
    <w:rsid w:val="006A3168"/>
    <w:rsid w:val="006A3BDC"/>
    <w:rsid w:val="006A4697"/>
    <w:rsid w:val="006A46E4"/>
    <w:rsid w:val="006A47E0"/>
    <w:rsid w:val="006A4969"/>
    <w:rsid w:val="006A5529"/>
    <w:rsid w:val="006A764B"/>
    <w:rsid w:val="006B0935"/>
    <w:rsid w:val="006B1B06"/>
    <w:rsid w:val="006B2171"/>
    <w:rsid w:val="006B2DD6"/>
    <w:rsid w:val="006B41A5"/>
    <w:rsid w:val="006B439C"/>
    <w:rsid w:val="006B4715"/>
    <w:rsid w:val="006B4800"/>
    <w:rsid w:val="006B49C2"/>
    <w:rsid w:val="006B5FF7"/>
    <w:rsid w:val="006B629D"/>
    <w:rsid w:val="006B66B8"/>
    <w:rsid w:val="006B7FCC"/>
    <w:rsid w:val="006C03EF"/>
    <w:rsid w:val="006C0533"/>
    <w:rsid w:val="006C0966"/>
    <w:rsid w:val="006C0E94"/>
    <w:rsid w:val="006C1CE2"/>
    <w:rsid w:val="006C1FFE"/>
    <w:rsid w:val="006C2087"/>
    <w:rsid w:val="006C372D"/>
    <w:rsid w:val="006C4CAF"/>
    <w:rsid w:val="006C517C"/>
    <w:rsid w:val="006C607F"/>
    <w:rsid w:val="006C6571"/>
    <w:rsid w:val="006D11A6"/>
    <w:rsid w:val="006D1887"/>
    <w:rsid w:val="006D2356"/>
    <w:rsid w:val="006D24EC"/>
    <w:rsid w:val="006D373C"/>
    <w:rsid w:val="006D3C0C"/>
    <w:rsid w:val="006D5937"/>
    <w:rsid w:val="006D59C0"/>
    <w:rsid w:val="006D5A15"/>
    <w:rsid w:val="006D5FD5"/>
    <w:rsid w:val="006D6806"/>
    <w:rsid w:val="006D75AB"/>
    <w:rsid w:val="006D7BA2"/>
    <w:rsid w:val="006E2002"/>
    <w:rsid w:val="006E23AB"/>
    <w:rsid w:val="006E2DE9"/>
    <w:rsid w:val="006E2FC6"/>
    <w:rsid w:val="006E325F"/>
    <w:rsid w:val="006E3578"/>
    <w:rsid w:val="006E434B"/>
    <w:rsid w:val="006E5D59"/>
    <w:rsid w:val="006E604C"/>
    <w:rsid w:val="006E7F3B"/>
    <w:rsid w:val="006E7FEA"/>
    <w:rsid w:val="006F06DA"/>
    <w:rsid w:val="006F12ED"/>
    <w:rsid w:val="006F1344"/>
    <w:rsid w:val="006F1925"/>
    <w:rsid w:val="006F1F13"/>
    <w:rsid w:val="006F3AB1"/>
    <w:rsid w:val="006F3B2E"/>
    <w:rsid w:val="006F3D51"/>
    <w:rsid w:val="006F4816"/>
    <w:rsid w:val="006F5E83"/>
    <w:rsid w:val="006F6343"/>
    <w:rsid w:val="006F68E9"/>
    <w:rsid w:val="006F6E18"/>
    <w:rsid w:val="00700152"/>
    <w:rsid w:val="00700569"/>
    <w:rsid w:val="00700F30"/>
    <w:rsid w:val="00701227"/>
    <w:rsid w:val="0070232A"/>
    <w:rsid w:val="00702833"/>
    <w:rsid w:val="00702D22"/>
    <w:rsid w:val="00703892"/>
    <w:rsid w:val="00704619"/>
    <w:rsid w:val="00704651"/>
    <w:rsid w:val="00705B4F"/>
    <w:rsid w:val="00707BA2"/>
    <w:rsid w:val="00707F9D"/>
    <w:rsid w:val="007119B8"/>
    <w:rsid w:val="00711B53"/>
    <w:rsid w:val="00711E9E"/>
    <w:rsid w:val="00711FC3"/>
    <w:rsid w:val="00712508"/>
    <w:rsid w:val="00713867"/>
    <w:rsid w:val="007157D5"/>
    <w:rsid w:val="00715FAA"/>
    <w:rsid w:val="007177D4"/>
    <w:rsid w:val="00717850"/>
    <w:rsid w:val="00717BFC"/>
    <w:rsid w:val="0072012E"/>
    <w:rsid w:val="007203B5"/>
    <w:rsid w:val="007209CA"/>
    <w:rsid w:val="007210CE"/>
    <w:rsid w:val="00721F9F"/>
    <w:rsid w:val="0072296A"/>
    <w:rsid w:val="00722F4C"/>
    <w:rsid w:val="00723246"/>
    <w:rsid w:val="007238A1"/>
    <w:rsid w:val="00724939"/>
    <w:rsid w:val="00724C68"/>
    <w:rsid w:val="00725DC7"/>
    <w:rsid w:val="00731981"/>
    <w:rsid w:val="00731B1E"/>
    <w:rsid w:val="00731E5C"/>
    <w:rsid w:val="0073219C"/>
    <w:rsid w:val="007330A1"/>
    <w:rsid w:val="00733429"/>
    <w:rsid w:val="007334B8"/>
    <w:rsid w:val="00733932"/>
    <w:rsid w:val="007342D5"/>
    <w:rsid w:val="00734A2A"/>
    <w:rsid w:val="00734D77"/>
    <w:rsid w:val="00735535"/>
    <w:rsid w:val="00735BB7"/>
    <w:rsid w:val="00736538"/>
    <w:rsid w:val="00737F52"/>
    <w:rsid w:val="007407FC"/>
    <w:rsid w:val="007418A7"/>
    <w:rsid w:val="007418EE"/>
    <w:rsid w:val="00742AE1"/>
    <w:rsid w:val="00742E03"/>
    <w:rsid w:val="00743AAF"/>
    <w:rsid w:val="00744E44"/>
    <w:rsid w:val="00745D6E"/>
    <w:rsid w:val="0074621B"/>
    <w:rsid w:val="00746882"/>
    <w:rsid w:val="00746903"/>
    <w:rsid w:val="00746BD2"/>
    <w:rsid w:val="00747EED"/>
    <w:rsid w:val="007502C8"/>
    <w:rsid w:val="007504E2"/>
    <w:rsid w:val="00751DFE"/>
    <w:rsid w:val="0075303F"/>
    <w:rsid w:val="007556F8"/>
    <w:rsid w:val="0075579C"/>
    <w:rsid w:val="007558A7"/>
    <w:rsid w:val="0075618B"/>
    <w:rsid w:val="00756F0F"/>
    <w:rsid w:val="007574F8"/>
    <w:rsid w:val="00760C49"/>
    <w:rsid w:val="00761102"/>
    <w:rsid w:val="00762DE0"/>
    <w:rsid w:val="0076334A"/>
    <w:rsid w:val="00763453"/>
    <w:rsid w:val="007636C3"/>
    <w:rsid w:val="00764B4F"/>
    <w:rsid w:val="00765A47"/>
    <w:rsid w:val="00765E47"/>
    <w:rsid w:val="0076688E"/>
    <w:rsid w:val="00766ADF"/>
    <w:rsid w:val="00767284"/>
    <w:rsid w:val="00770B51"/>
    <w:rsid w:val="007717D3"/>
    <w:rsid w:val="00771D49"/>
    <w:rsid w:val="00772670"/>
    <w:rsid w:val="00772F26"/>
    <w:rsid w:val="00772F9F"/>
    <w:rsid w:val="00773021"/>
    <w:rsid w:val="007759F7"/>
    <w:rsid w:val="00775B00"/>
    <w:rsid w:val="00776684"/>
    <w:rsid w:val="007767A1"/>
    <w:rsid w:val="00776D74"/>
    <w:rsid w:val="00777916"/>
    <w:rsid w:val="007819F9"/>
    <w:rsid w:val="00782532"/>
    <w:rsid w:val="0078311E"/>
    <w:rsid w:val="007831E6"/>
    <w:rsid w:val="00783F17"/>
    <w:rsid w:val="00784889"/>
    <w:rsid w:val="007852C0"/>
    <w:rsid w:val="007857EA"/>
    <w:rsid w:val="0078587A"/>
    <w:rsid w:val="00785CF7"/>
    <w:rsid w:val="00785E4D"/>
    <w:rsid w:val="00786019"/>
    <w:rsid w:val="0078707D"/>
    <w:rsid w:val="00790529"/>
    <w:rsid w:val="0079081F"/>
    <w:rsid w:val="00790834"/>
    <w:rsid w:val="0079089D"/>
    <w:rsid w:val="00791261"/>
    <w:rsid w:val="007917C7"/>
    <w:rsid w:val="007918E0"/>
    <w:rsid w:val="0079383D"/>
    <w:rsid w:val="00794CC9"/>
    <w:rsid w:val="0079719F"/>
    <w:rsid w:val="00797B7B"/>
    <w:rsid w:val="007A0199"/>
    <w:rsid w:val="007A0782"/>
    <w:rsid w:val="007A0F23"/>
    <w:rsid w:val="007A1074"/>
    <w:rsid w:val="007A1B2F"/>
    <w:rsid w:val="007A1B5C"/>
    <w:rsid w:val="007A2BE9"/>
    <w:rsid w:val="007A3223"/>
    <w:rsid w:val="007A44D3"/>
    <w:rsid w:val="007A4D9C"/>
    <w:rsid w:val="007A5041"/>
    <w:rsid w:val="007A57CD"/>
    <w:rsid w:val="007A7D61"/>
    <w:rsid w:val="007B165E"/>
    <w:rsid w:val="007B31FB"/>
    <w:rsid w:val="007B45BC"/>
    <w:rsid w:val="007B5FCA"/>
    <w:rsid w:val="007B6457"/>
    <w:rsid w:val="007B6AFC"/>
    <w:rsid w:val="007B7853"/>
    <w:rsid w:val="007B7D8C"/>
    <w:rsid w:val="007C0634"/>
    <w:rsid w:val="007C0947"/>
    <w:rsid w:val="007C1B7C"/>
    <w:rsid w:val="007C2632"/>
    <w:rsid w:val="007C341D"/>
    <w:rsid w:val="007C36D6"/>
    <w:rsid w:val="007C38E4"/>
    <w:rsid w:val="007C4305"/>
    <w:rsid w:val="007C4539"/>
    <w:rsid w:val="007C518A"/>
    <w:rsid w:val="007C59FB"/>
    <w:rsid w:val="007C5D39"/>
    <w:rsid w:val="007C6CD9"/>
    <w:rsid w:val="007C73B5"/>
    <w:rsid w:val="007C780B"/>
    <w:rsid w:val="007C7A13"/>
    <w:rsid w:val="007D0B8E"/>
    <w:rsid w:val="007D1BBC"/>
    <w:rsid w:val="007D2190"/>
    <w:rsid w:val="007D33AD"/>
    <w:rsid w:val="007D402D"/>
    <w:rsid w:val="007D46D0"/>
    <w:rsid w:val="007D48F4"/>
    <w:rsid w:val="007D4E80"/>
    <w:rsid w:val="007D66BD"/>
    <w:rsid w:val="007D6895"/>
    <w:rsid w:val="007D6C2F"/>
    <w:rsid w:val="007D794C"/>
    <w:rsid w:val="007E0A1C"/>
    <w:rsid w:val="007E16B4"/>
    <w:rsid w:val="007E221A"/>
    <w:rsid w:val="007E2DD3"/>
    <w:rsid w:val="007E42DC"/>
    <w:rsid w:val="007E4368"/>
    <w:rsid w:val="007E640F"/>
    <w:rsid w:val="007E6F33"/>
    <w:rsid w:val="007E7336"/>
    <w:rsid w:val="007E74D5"/>
    <w:rsid w:val="007E76FD"/>
    <w:rsid w:val="007E7F50"/>
    <w:rsid w:val="007F0524"/>
    <w:rsid w:val="007F15D2"/>
    <w:rsid w:val="007F1BAD"/>
    <w:rsid w:val="007F1EF4"/>
    <w:rsid w:val="007F3248"/>
    <w:rsid w:val="007F57A8"/>
    <w:rsid w:val="007F5EC0"/>
    <w:rsid w:val="007F6267"/>
    <w:rsid w:val="007F710C"/>
    <w:rsid w:val="00801A9B"/>
    <w:rsid w:val="00801D71"/>
    <w:rsid w:val="00803DB3"/>
    <w:rsid w:val="00805747"/>
    <w:rsid w:val="00806212"/>
    <w:rsid w:val="0080626E"/>
    <w:rsid w:val="00807B4C"/>
    <w:rsid w:val="008103AC"/>
    <w:rsid w:val="008117BF"/>
    <w:rsid w:val="00813140"/>
    <w:rsid w:val="00814C09"/>
    <w:rsid w:val="00814D4D"/>
    <w:rsid w:val="00814E69"/>
    <w:rsid w:val="00815F24"/>
    <w:rsid w:val="008163E6"/>
    <w:rsid w:val="008165C0"/>
    <w:rsid w:val="00816A13"/>
    <w:rsid w:val="0081775B"/>
    <w:rsid w:val="00817BBE"/>
    <w:rsid w:val="00817DC0"/>
    <w:rsid w:val="0082199C"/>
    <w:rsid w:val="008222A5"/>
    <w:rsid w:val="008224E2"/>
    <w:rsid w:val="00822677"/>
    <w:rsid w:val="00822D28"/>
    <w:rsid w:val="00823783"/>
    <w:rsid w:val="008257C3"/>
    <w:rsid w:val="00827120"/>
    <w:rsid w:val="008272F4"/>
    <w:rsid w:val="00827931"/>
    <w:rsid w:val="008300D0"/>
    <w:rsid w:val="008307D0"/>
    <w:rsid w:val="00833581"/>
    <w:rsid w:val="00833C96"/>
    <w:rsid w:val="00834596"/>
    <w:rsid w:val="00835960"/>
    <w:rsid w:val="00836904"/>
    <w:rsid w:val="0083760B"/>
    <w:rsid w:val="00840BC6"/>
    <w:rsid w:val="00840E34"/>
    <w:rsid w:val="008411D3"/>
    <w:rsid w:val="008413D3"/>
    <w:rsid w:val="00841FAB"/>
    <w:rsid w:val="008425E2"/>
    <w:rsid w:val="0084275B"/>
    <w:rsid w:val="0084290E"/>
    <w:rsid w:val="00842F6F"/>
    <w:rsid w:val="00843495"/>
    <w:rsid w:val="008449BE"/>
    <w:rsid w:val="00845EFB"/>
    <w:rsid w:val="00846715"/>
    <w:rsid w:val="00846A78"/>
    <w:rsid w:val="00847418"/>
    <w:rsid w:val="00847C5E"/>
    <w:rsid w:val="0085002B"/>
    <w:rsid w:val="008505D5"/>
    <w:rsid w:val="008506D0"/>
    <w:rsid w:val="00850AB1"/>
    <w:rsid w:val="00850FC7"/>
    <w:rsid w:val="0085134A"/>
    <w:rsid w:val="00851D6B"/>
    <w:rsid w:val="00851F46"/>
    <w:rsid w:val="00852846"/>
    <w:rsid w:val="00853522"/>
    <w:rsid w:val="00853E94"/>
    <w:rsid w:val="00855063"/>
    <w:rsid w:val="008550AA"/>
    <w:rsid w:val="008558C8"/>
    <w:rsid w:val="00855E58"/>
    <w:rsid w:val="0085646F"/>
    <w:rsid w:val="00856E99"/>
    <w:rsid w:val="0086004D"/>
    <w:rsid w:val="00860A4D"/>
    <w:rsid w:val="0086166A"/>
    <w:rsid w:val="0086174C"/>
    <w:rsid w:val="00861B90"/>
    <w:rsid w:val="0086327E"/>
    <w:rsid w:val="00863346"/>
    <w:rsid w:val="0086350A"/>
    <w:rsid w:val="0086373C"/>
    <w:rsid w:val="008642BC"/>
    <w:rsid w:val="00865260"/>
    <w:rsid w:val="008652CA"/>
    <w:rsid w:val="008653FF"/>
    <w:rsid w:val="00865857"/>
    <w:rsid w:val="0086751B"/>
    <w:rsid w:val="00867A96"/>
    <w:rsid w:val="00867E7E"/>
    <w:rsid w:val="0087080A"/>
    <w:rsid w:val="00871D8C"/>
    <w:rsid w:val="008730E3"/>
    <w:rsid w:val="00875EE8"/>
    <w:rsid w:val="00876E0F"/>
    <w:rsid w:val="00877220"/>
    <w:rsid w:val="0087786A"/>
    <w:rsid w:val="00881532"/>
    <w:rsid w:val="008819D4"/>
    <w:rsid w:val="00881F25"/>
    <w:rsid w:val="00882510"/>
    <w:rsid w:val="00882BFD"/>
    <w:rsid w:val="008831E3"/>
    <w:rsid w:val="0088431F"/>
    <w:rsid w:val="008869E2"/>
    <w:rsid w:val="00886F36"/>
    <w:rsid w:val="008873DF"/>
    <w:rsid w:val="008875D5"/>
    <w:rsid w:val="00887922"/>
    <w:rsid w:val="00890471"/>
    <w:rsid w:val="00892AFE"/>
    <w:rsid w:val="00892B28"/>
    <w:rsid w:val="008941F7"/>
    <w:rsid w:val="00894566"/>
    <w:rsid w:val="0089500D"/>
    <w:rsid w:val="0089529F"/>
    <w:rsid w:val="008956FF"/>
    <w:rsid w:val="0089592B"/>
    <w:rsid w:val="00895B2B"/>
    <w:rsid w:val="00896169"/>
    <w:rsid w:val="008973DB"/>
    <w:rsid w:val="00897BF7"/>
    <w:rsid w:val="008A0531"/>
    <w:rsid w:val="008A0F9B"/>
    <w:rsid w:val="008A1AA0"/>
    <w:rsid w:val="008A2411"/>
    <w:rsid w:val="008A245F"/>
    <w:rsid w:val="008A2A0D"/>
    <w:rsid w:val="008A2A5B"/>
    <w:rsid w:val="008A370A"/>
    <w:rsid w:val="008A37CF"/>
    <w:rsid w:val="008A38C2"/>
    <w:rsid w:val="008A4059"/>
    <w:rsid w:val="008A4591"/>
    <w:rsid w:val="008A4AA7"/>
    <w:rsid w:val="008A5953"/>
    <w:rsid w:val="008A6D4D"/>
    <w:rsid w:val="008A7149"/>
    <w:rsid w:val="008A7617"/>
    <w:rsid w:val="008B0280"/>
    <w:rsid w:val="008B19F1"/>
    <w:rsid w:val="008B1D9B"/>
    <w:rsid w:val="008B1E51"/>
    <w:rsid w:val="008B317B"/>
    <w:rsid w:val="008B33D7"/>
    <w:rsid w:val="008B360E"/>
    <w:rsid w:val="008B3C13"/>
    <w:rsid w:val="008B3CDB"/>
    <w:rsid w:val="008B3E16"/>
    <w:rsid w:val="008B4E7F"/>
    <w:rsid w:val="008B507C"/>
    <w:rsid w:val="008B58E9"/>
    <w:rsid w:val="008B5E11"/>
    <w:rsid w:val="008C0192"/>
    <w:rsid w:val="008C06A4"/>
    <w:rsid w:val="008C0CE5"/>
    <w:rsid w:val="008C153B"/>
    <w:rsid w:val="008C2E8C"/>
    <w:rsid w:val="008C316B"/>
    <w:rsid w:val="008C77B0"/>
    <w:rsid w:val="008C78A3"/>
    <w:rsid w:val="008C7BAE"/>
    <w:rsid w:val="008D00F8"/>
    <w:rsid w:val="008D04C5"/>
    <w:rsid w:val="008D0AD7"/>
    <w:rsid w:val="008D0F61"/>
    <w:rsid w:val="008D0FC7"/>
    <w:rsid w:val="008D1343"/>
    <w:rsid w:val="008D14B3"/>
    <w:rsid w:val="008D24E8"/>
    <w:rsid w:val="008D2F56"/>
    <w:rsid w:val="008D3571"/>
    <w:rsid w:val="008D3D65"/>
    <w:rsid w:val="008D46C8"/>
    <w:rsid w:val="008D5BF1"/>
    <w:rsid w:val="008D6EA6"/>
    <w:rsid w:val="008D7033"/>
    <w:rsid w:val="008D7657"/>
    <w:rsid w:val="008D7D2F"/>
    <w:rsid w:val="008D7EAB"/>
    <w:rsid w:val="008E0582"/>
    <w:rsid w:val="008E0D19"/>
    <w:rsid w:val="008E1B07"/>
    <w:rsid w:val="008E1D02"/>
    <w:rsid w:val="008E1DA0"/>
    <w:rsid w:val="008E2037"/>
    <w:rsid w:val="008E2186"/>
    <w:rsid w:val="008E2A5D"/>
    <w:rsid w:val="008E31A9"/>
    <w:rsid w:val="008E3A61"/>
    <w:rsid w:val="008E4357"/>
    <w:rsid w:val="008E5861"/>
    <w:rsid w:val="008E5882"/>
    <w:rsid w:val="008E5A25"/>
    <w:rsid w:val="008E5B97"/>
    <w:rsid w:val="008E79A8"/>
    <w:rsid w:val="008F0500"/>
    <w:rsid w:val="008F0842"/>
    <w:rsid w:val="008F0BDB"/>
    <w:rsid w:val="008F1095"/>
    <w:rsid w:val="008F156E"/>
    <w:rsid w:val="008F288F"/>
    <w:rsid w:val="008F2E1C"/>
    <w:rsid w:val="008F30F5"/>
    <w:rsid w:val="008F3756"/>
    <w:rsid w:val="008F3F24"/>
    <w:rsid w:val="008F4436"/>
    <w:rsid w:val="008F4ECC"/>
    <w:rsid w:val="008F5189"/>
    <w:rsid w:val="008F5B77"/>
    <w:rsid w:val="008F5C97"/>
    <w:rsid w:val="008F63A4"/>
    <w:rsid w:val="008F6D2F"/>
    <w:rsid w:val="008F701A"/>
    <w:rsid w:val="008F7D6D"/>
    <w:rsid w:val="009029DB"/>
    <w:rsid w:val="0090407F"/>
    <w:rsid w:val="009047E7"/>
    <w:rsid w:val="0090671B"/>
    <w:rsid w:val="009100E7"/>
    <w:rsid w:val="00910653"/>
    <w:rsid w:val="00910668"/>
    <w:rsid w:val="00910704"/>
    <w:rsid w:val="009108A3"/>
    <w:rsid w:val="0091232B"/>
    <w:rsid w:val="009124B0"/>
    <w:rsid w:val="00912E23"/>
    <w:rsid w:val="00912F0A"/>
    <w:rsid w:val="009136D5"/>
    <w:rsid w:val="009150A3"/>
    <w:rsid w:val="00915383"/>
    <w:rsid w:val="0091542D"/>
    <w:rsid w:val="00916725"/>
    <w:rsid w:val="00916ECE"/>
    <w:rsid w:val="00916EFB"/>
    <w:rsid w:val="0091737A"/>
    <w:rsid w:val="009212BF"/>
    <w:rsid w:val="009219B8"/>
    <w:rsid w:val="009220E0"/>
    <w:rsid w:val="0092241C"/>
    <w:rsid w:val="00922BD5"/>
    <w:rsid w:val="00922C3C"/>
    <w:rsid w:val="00922F00"/>
    <w:rsid w:val="0092424E"/>
    <w:rsid w:val="00925A58"/>
    <w:rsid w:val="00925E1D"/>
    <w:rsid w:val="009260D0"/>
    <w:rsid w:val="00926A12"/>
    <w:rsid w:val="00926F33"/>
    <w:rsid w:val="0092720B"/>
    <w:rsid w:val="00930050"/>
    <w:rsid w:val="00930080"/>
    <w:rsid w:val="009302E5"/>
    <w:rsid w:val="00932E61"/>
    <w:rsid w:val="00933E3A"/>
    <w:rsid w:val="00934511"/>
    <w:rsid w:val="009354AA"/>
    <w:rsid w:val="00937E37"/>
    <w:rsid w:val="0094092B"/>
    <w:rsid w:val="00940AC5"/>
    <w:rsid w:val="00941088"/>
    <w:rsid w:val="009418CE"/>
    <w:rsid w:val="00942066"/>
    <w:rsid w:val="009430D5"/>
    <w:rsid w:val="0094313E"/>
    <w:rsid w:val="00944DBC"/>
    <w:rsid w:val="0094515D"/>
    <w:rsid w:val="00945364"/>
    <w:rsid w:val="00945C6E"/>
    <w:rsid w:val="0094627C"/>
    <w:rsid w:val="009464E9"/>
    <w:rsid w:val="009476FA"/>
    <w:rsid w:val="00947AB6"/>
    <w:rsid w:val="00950062"/>
    <w:rsid w:val="0095019C"/>
    <w:rsid w:val="00950408"/>
    <w:rsid w:val="009512A7"/>
    <w:rsid w:val="0095203F"/>
    <w:rsid w:val="00952435"/>
    <w:rsid w:val="00952535"/>
    <w:rsid w:val="009541F5"/>
    <w:rsid w:val="009543AB"/>
    <w:rsid w:val="00954696"/>
    <w:rsid w:val="00954F20"/>
    <w:rsid w:val="0095512F"/>
    <w:rsid w:val="009555E8"/>
    <w:rsid w:val="00955622"/>
    <w:rsid w:val="009556AA"/>
    <w:rsid w:val="00956C44"/>
    <w:rsid w:val="009572E8"/>
    <w:rsid w:val="00957E74"/>
    <w:rsid w:val="00961370"/>
    <w:rsid w:val="0096150E"/>
    <w:rsid w:val="00961C80"/>
    <w:rsid w:val="00962443"/>
    <w:rsid w:val="00962B71"/>
    <w:rsid w:val="00963295"/>
    <w:rsid w:val="009638A5"/>
    <w:rsid w:val="009645E3"/>
    <w:rsid w:val="009648B7"/>
    <w:rsid w:val="009658FE"/>
    <w:rsid w:val="00965A68"/>
    <w:rsid w:val="0096700B"/>
    <w:rsid w:val="009677B0"/>
    <w:rsid w:val="009700B1"/>
    <w:rsid w:val="009701D4"/>
    <w:rsid w:val="009703D4"/>
    <w:rsid w:val="0097068B"/>
    <w:rsid w:val="00970734"/>
    <w:rsid w:val="00971712"/>
    <w:rsid w:val="00972B2E"/>
    <w:rsid w:val="00973250"/>
    <w:rsid w:val="00973270"/>
    <w:rsid w:val="0097343A"/>
    <w:rsid w:val="00974EC2"/>
    <w:rsid w:val="00975AE1"/>
    <w:rsid w:val="00975CC0"/>
    <w:rsid w:val="00975DC4"/>
    <w:rsid w:val="00977BDF"/>
    <w:rsid w:val="00980163"/>
    <w:rsid w:val="009809A4"/>
    <w:rsid w:val="00980A67"/>
    <w:rsid w:val="00980C2B"/>
    <w:rsid w:val="009848A4"/>
    <w:rsid w:val="00984CA5"/>
    <w:rsid w:val="00991D03"/>
    <w:rsid w:val="00992C74"/>
    <w:rsid w:val="00993124"/>
    <w:rsid w:val="00993C81"/>
    <w:rsid w:val="00994374"/>
    <w:rsid w:val="0099470E"/>
    <w:rsid w:val="0099563A"/>
    <w:rsid w:val="0099567F"/>
    <w:rsid w:val="009961C8"/>
    <w:rsid w:val="0099752C"/>
    <w:rsid w:val="009A01C1"/>
    <w:rsid w:val="009A06F9"/>
    <w:rsid w:val="009A1475"/>
    <w:rsid w:val="009A33D6"/>
    <w:rsid w:val="009A3FEF"/>
    <w:rsid w:val="009A5325"/>
    <w:rsid w:val="009A5796"/>
    <w:rsid w:val="009A5BF5"/>
    <w:rsid w:val="009A62A3"/>
    <w:rsid w:val="009A7E83"/>
    <w:rsid w:val="009B05DF"/>
    <w:rsid w:val="009B0884"/>
    <w:rsid w:val="009B1AB7"/>
    <w:rsid w:val="009B1B76"/>
    <w:rsid w:val="009B42C6"/>
    <w:rsid w:val="009B593E"/>
    <w:rsid w:val="009B5B37"/>
    <w:rsid w:val="009B6A2B"/>
    <w:rsid w:val="009B7610"/>
    <w:rsid w:val="009B79D6"/>
    <w:rsid w:val="009C0060"/>
    <w:rsid w:val="009C0953"/>
    <w:rsid w:val="009C0DA6"/>
    <w:rsid w:val="009C10A5"/>
    <w:rsid w:val="009C177C"/>
    <w:rsid w:val="009C2154"/>
    <w:rsid w:val="009C2DAD"/>
    <w:rsid w:val="009C2F84"/>
    <w:rsid w:val="009C3AAD"/>
    <w:rsid w:val="009C3B1A"/>
    <w:rsid w:val="009C3BE9"/>
    <w:rsid w:val="009C7D8A"/>
    <w:rsid w:val="009D0808"/>
    <w:rsid w:val="009D0FEC"/>
    <w:rsid w:val="009D15D5"/>
    <w:rsid w:val="009D180A"/>
    <w:rsid w:val="009D1FE4"/>
    <w:rsid w:val="009D2E71"/>
    <w:rsid w:val="009D35C7"/>
    <w:rsid w:val="009D5DD6"/>
    <w:rsid w:val="009D6B47"/>
    <w:rsid w:val="009D71BC"/>
    <w:rsid w:val="009D7348"/>
    <w:rsid w:val="009D7C01"/>
    <w:rsid w:val="009E073D"/>
    <w:rsid w:val="009E09AA"/>
    <w:rsid w:val="009E0F53"/>
    <w:rsid w:val="009E227A"/>
    <w:rsid w:val="009E3258"/>
    <w:rsid w:val="009E38AD"/>
    <w:rsid w:val="009E4171"/>
    <w:rsid w:val="009E57E6"/>
    <w:rsid w:val="009F135B"/>
    <w:rsid w:val="009F1799"/>
    <w:rsid w:val="009F19F6"/>
    <w:rsid w:val="009F1C15"/>
    <w:rsid w:val="009F214D"/>
    <w:rsid w:val="009F215D"/>
    <w:rsid w:val="009F2C27"/>
    <w:rsid w:val="009F343A"/>
    <w:rsid w:val="009F3C5E"/>
    <w:rsid w:val="009F426A"/>
    <w:rsid w:val="009F5180"/>
    <w:rsid w:val="009F53D1"/>
    <w:rsid w:val="009F58DD"/>
    <w:rsid w:val="009F6630"/>
    <w:rsid w:val="009F67A3"/>
    <w:rsid w:val="009F71D6"/>
    <w:rsid w:val="009F72B4"/>
    <w:rsid w:val="009F7656"/>
    <w:rsid w:val="009F7F2B"/>
    <w:rsid w:val="00A00EC9"/>
    <w:rsid w:val="00A0122F"/>
    <w:rsid w:val="00A018A2"/>
    <w:rsid w:val="00A02713"/>
    <w:rsid w:val="00A035E7"/>
    <w:rsid w:val="00A03867"/>
    <w:rsid w:val="00A03C7D"/>
    <w:rsid w:val="00A03E6A"/>
    <w:rsid w:val="00A0633E"/>
    <w:rsid w:val="00A06703"/>
    <w:rsid w:val="00A068D6"/>
    <w:rsid w:val="00A07691"/>
    <w:rsid w:val="00A118C5"/>
    <w:rsid w:val="00A11ACC"/>
    <w:rsid w:val="00A128B3"/>
    <w:rsid w:val="00A12FE9"/>
    <w:rsid w:val="00A15160"/>
    <w:rsid w:val="00A17949"/>
    <w:rsid w:val="00A20AC9"/>
    <w:rsid w:val="00A20EF8"/>
    <w:rsid w:val="00A2344C"/>
    <w:rsid w:val="00A247DF"/>
    <w:rsid w:val="00A2684D"/>
    <w:rsid w:val="00A271DF"/>
    <w:rsid w:val="00A30123"/>
    <w:rsid w:val="00A305E6"/>
    <w:rsid w:val="00A31FB1"/>
    <w:rsid w:val="00A323BD"/>
    <w:rsid w:val="00A33F2B"/>
    <w:rsid w:val="00A35C7B"/>
    <w:rsid w:val="00A365EF"/>
    <w:rsid w:val="00A36BC4"/>
    <w:rsid w:val="00A36FEA"/>
    <w:rsid w:val="00A370DF"/>
    <w:rsid w:val="00A408BE"/>
    <w:rsid w:val="00A409F6"/>
    <w:rsid w:val="00A40B33"/>
    <w:rsid w:val="00A41CE4"/>
    <w:rsid w:val="00A42815"/>
    <w:rsid w:val="00A42F63"/>
    <w:rsid w:val="00A43303"/>
    <w:rsid w:val="00A450FD"/>
    <w:rsid w:val="00A45EB3"/>
    <w:rsid w:val="00A46BD5"/>
    <w:rsid w:val="00A4783B"/>
    <w:rsid w:val="00A47953"/>
    <w:rsid w:val="00A47D09"/>
    <w:rsid w:val="00A51C1F"/>
    <w:rsid w:val="00A52064"/>
    <w:rsid w:val="00A5251C"/>
    <w:rsid w:val="00A52694"/>
    <w:rsid w:val="00A539CA"/>
    <w:rsid w:val="00A540A9"/>
    <w:rsid w:val="00A54778"/>
    <w:rsid w:val="00A547A4"/>
    <w:rsid w:val="00A560C6"/>
    <w:rsid w:val="00A560FD"/>
    <w:rsid w:val="00A5663D"/>
    <w:rsid w:val="00A56BF9"/>
    <w:rsid w:val="00A57821"/>
    <w:rsid w:val="00A602E8"/>
    <w:rsid w:val="00A60A94"/>
    <w:rsid w:val="00A60B4E"/>
    <w:rsid w:val="00A616E8"/>
    <w:rsid w:val="00A61A9A"/>
    <w:rsid w:val="00A61CC6"/>
    <w:rsid w:val="00A62208"/>
    <w:rsid w:val="00A62724"/>
    <w:rsid w:val="00A63521"/>
    <w:rsid w:val="00A63C8C"/>
    <w:rsid w:val="00A647DB"/>
    <w:rsid w:val="00A65710"/>
    <w:rsid w:val="00A6579E"/>
    <w:rsid w:val="00A65CEF"/>
    <w:rsid w:val="00A65FB4"/>
    <w:rsid w:val="00A66E10"/>
    <w:rsid w:val="00A67A1D"/>
    <w:rsid w:val="00A67F9C"/>
    <w:rsid w:val="00A71A4C"/>
    <w:rsid w:val="00A71D7B"/>
    <w:rsid w:val="00A71EED"/>
    <w:rsid w:val="00A72E7C"/>
    <w:rsid w:val="00A7311B"/>
    <w:rsid w:val="00A7596A"/>
    <w:rsid w:val="00A759E7"/>
    <w:rsid w:val="00A76C8B"/>
    <w:rsid w:val="00A76E53"/>
    <w:rsid w:val="00A776A0"/>
    <w:rsid w:val="00A77EB8"/>
    <w:rsid w:val="00A77FBD"/>
    <w:rsid w:val="00A80A07"/>
    <w:rsid w:val="00A81421"/>
    <w:rsid w:val="00A8197F"/>
    <w:rsid w:val="00A85394"/>
    <w:rsid w:val="00A85C44"/>
    <w:rsid w:val="00A879A2"/>
    <w:rsid w:val="00A879F4"/>
    <w:rsid w:val="00A9032D"/>
    <w:rsid w:val="00A903CE"/>
    <w:rsid w:val="00A91208"/>
    <w:rsid w:val="00A91468"/>
    <w:rsid w:val="00A942F2"/>
    <w:rsid w:val="00A95E81"/>
    <w:rsid w:val="00A964D7"/>
    <w:rsid w:val="00A969EE"/>
    <w:rsid w:val="00A97363"/>
    <w:rsid w:val="00A97479"/>
    <w:rsid w:val="00AA0A86"/>
    <w:rsid w:val="00AA0D5D"/>
    <w:rsid w:val="00AA12BF"/>
    <w:rsid w:val="00AA1A8F"/>
    <w:rsid w:val="00AA2456"/>
    <w:rsid w:val="00AA2458"/>
    <w:rsid w:val="00AA2469"/>
    <w:rsid w:val="00AA465C"/>
    <w:rsid w:val="00AA63AD"/>
    <w:rsid w:val="00AA65B5"/>
    <w:rsid w:val="00AB104A"/>
    <w:rsid w:val="00AB1DE1"/>
    <w:rsid w:val="00AB1EC8"/>
    <w:rsid w:val="00AB4092"/>
    <w:rsid w:val="00AB532E"/>
    <w:rsid w:val="00AB7BCA"/>
    <w:rsid w:val="00AB7E02"/>
    <w:rsid w:val="00AC027B"/>
    <w:rsid w:val="00AC0F3B"/>
    <w:rsid w:val="00AC1547"/>
    <w:rsid w:val="00AC1754"/>
    <w:rsid w:val="00AC1C4A"/>
    <w:rsid w:val="00AC1CD5"/>
    <w:rsid w:val="00AC2EA5"/>
    <w:rsid w:val="00AC4FDC"/>
    <w:rsid w:val="00AC6404"/>
    <w:rsid w:val="00AC71B5"/>
    <w:rsid w:val="00AC7476"/>
    <w:rsid w:val="00AD05B2"/>
    <w:rsid w:val="00AD06F9"/>
    <w:rsid w:val="00AD1423"/>
    <w:rsid w:val="00AD15B7"/>
    <w:rsid w:val="00AD1AE2"/>
    <w:rsid w:val="00AD1B01"/>
    <w:rsid w:val="00AD21F3"/>
    <w:rsid w:val="00AD3591"/>
    <w:rsid w:val="00AD35A5"/>
    <w:rsid w:val="00AD475B"/>
    <w:rsid w:val="00AD5284"/>
    <w:rsid w:val="00AD58D5"/>
    <w:rsid w:val="00AD63A8"/>
    <w:rsid w:val="00AD6429"/>
    <w:rsid w:val="00AD66EE"/>
    <w:rsid w:val="00AD6856"/>
    <w:rsid w:val="00AD716F"/>
    <w:rsid w:val="00AD7DCE"/>
    <w:rsid w:val="00AE04EC"/>
    <w:rsid w:val="00AE07D7"/>
    <w:rsid w:val="00AE0879"/>
    <w:rsid w:val="00AE08E6"/>
    <w:rsid w:val="00AE0A02"/>
    <w:rsid w:val="00AE2AF3"/>
    <w:rsid w:val="00AE2F42"/>
    <w:rsid w:val="00AE326B"/>
    <w:rsid w:val="00AE33B4"/>
    <w:rsid w:val="00AE345E"/>
    <w:rsid w:val="00AE4A72"/>
    <w:rsid w:val="00AE4EB8"/>
    <w:rsid w:val="00AE5408"/>
    <w:rsid w:val="00AE5557"/>
    <w:rsid w:val="00AE5EA2"/>
    <w:rsid w:val="00AE6EFD"/>
    <w:rsid w:val="00AE7778"/>
    <w:rsid w:val="00AF0660"/>
    <w:rsid w:val="00AF0C31"/>
    <w:rsid w:val="00AF1C6F"/>
    <w:rsid w:val="00AF2678"/>
    <w:rsid w:val="00AF2D2F"/>
    <w:rsid w:val="00AF362F"/>
    <w:rsid w:val="00AF4D8D"/>
    <w:rsid w:val="00AF4F48"/>
    <w:rsid w:val="00AF4FE2"/>
    <w:rsid w:val="00AF558F"/>
    <w:rsid w:val="00AF565F"/>
    <w:rsid w:val="00AF7B05"/>
    <w:rsid w:val="00B01A39"/>
    <w:rsid w:val="00B0246C"/>
    <w:rsid w:val="00B03865"/>
    <w:rsid w:val="00B07998"/>
    <w:rsid w:val="00B07DDE"/>
    <w:rsid w:val="00B104B7"/>
    <w:rsid w:val="00B1096B"/>
    <w:rsid w:val="00B120AD"/>
    <w:rsid w:val="00B1244C"/>
    <w:rsid w:val="00B12C06"/>
    <w:rsid w:val="00B130E2"/>
    <w:rsid w:val="00B1421E"/>
    <w:rsid w:val="00B1425B"/>
    <w:rsid w:val="00B147EA"/>
    <w:rsid w:val="00B14914"/>
    <w:rsid w:val="00B14AB2"/>
    <w:rsid w:val="00B1576D"/>
    <w:rsid w:val="00B15F83"/>
    <w:rsid w:val="00B167AE"/>
    <w:rsid w:val="00B1725B"/>
    <w:rsid w:val="00B17E41"/>
    <w:rsid w:val="00B219A5"/>
    <w:rsid w:val="00B22B40"/>
    <w:rsid w:val="00B237D0"/>
    <w:rsid w:val="00B2422A"/>
    <w:rsid w:val="00B25ED4"/>
    <w:rsid w:val="00B2628B"/>
    <w:rsid w:val="00B26B06"/>
    <w:rsid w:val="00B27BC3"/>
    <w:rsid w:val="00B31FA8"/>
    <w:rsid w:val="00B3208F"/>
    <w:rsid w:val="00B321F5"/>
    <w:rsid w:val="00B324DE"/>
    <w:rsid w:val="00B33F46"/>
    <w:rsid w:val="00B34B9A"/>
    <w:rsid w:val="00B3518A"/>
    <w:rsid w:val="00B352B3"/>
    <w:rsid w:val="00B3622C"/>
    <w:rsid w:val="00B3736A"/>
    <w:rsid w:val="00B37616"/>
    <w:rsid w:val="00B37995"/>
    <w:rsid w:val="00B37B16"/>
    <w:rsid w:val="00B37E42"/>
    <w:rsid w:val="00B409E7"/>
    <w:rsid w:val="00B40F6F"/>
    <w:rsid w:val="00B41738"/>
    <w:rsid w:val="00B41B1D"/>
    <w:rsid w:val="00B42B04"/>
    <w:rsid w:val="00B42BC5"/>
    <w:rsid w:val="00B43D38"/>
    <w:rsid w:val="00B444E6"/>
    <w:rsid w:val="00B44F4D"/>
    <w:rsid w:val="00B45203"/>
    <w:rsid w:val="00B456CF"/>
    <w:rsid w:val="00B46330"/>
    <w:rsid w:val="00B50B01"/>
    <w:rsid w:val="00B515B1"/>
    <w:rsid w:val="00B51A9C"/>
    <w:rsid w:val="00B51E9F"/>
    <w:rsid w:val="00B529E7"/>
    <w:rsid w:val="00B54976"/>
    <w:rsid w:val="00B556AC"/>
    <w:rsid w:val="00B55E68"/>
    <w:rsid w:val="00B55FCD"/>
    <w:rsid w:val="00B5628A"/>
    <w:rsid w:val="00B56404"/>
    <w:rsid w:val="00B570DB"/>
    <w:rsid w:val="00B572EA"/>
    <w:rsid w:val="00B579DF"/>
    <w:rsid w:val="00B602A2"/>
    <w:rsid w:val="00B60853"/>
    <w:rsid w:val="00B61363"/>
    <w:rsid w:val="00B62EBD"/>
    <w:rsid w:val="00B641F1"/>
    <w:rsid w:val="00B66C36"/>
    <w:rsid w:val="00B676D6"/>
    <w:rsid w:val="00B71DB6"/>
    <w:rsid w:val="00B72ECE"/>
    <w:rsid w:val="00B74B16"/>
    <w:rsid w:val="00B751D5"/>
    <w:rsid w:val="00B757D0"/>
    <w:rsid w:val="00B80716"/>
    <w:rsid w:val="00B80A17"/>
    <w:rsid w:val="00B81B99"/>
    <w:rsid w:val="00B81BA9"/>
    <w:rsid w:val="00B81C5E"/>
    <w:rsid w:val="00B81C7C"/>
    <w:rsid w:val="00B839AC"/>
    <w:rsid w:val="00B848B0"/>
    <w:rsid w:val="00B848DA"/>
    <w:rsid w:val="00B8614A"/>
    <w:rsid w:val="00B86BE1"/>
    <w:rsid w:val="00B86C2B"/>
    <w:rsid w:val="00B871DB"/>
    <w:rsid w:val="00B90881"/>
    <w:rsid w:val="00B90E93"/>
    <w:rsid w:val="00B91309"/>
    <w:rsid w:val="00B91386"/>
    <w:rsid w:val="00B9187D"/>
    <w:rsid w:val="00B91A7D"/>
    <w:rsid w:val="00B9231C"/>
    <w:rsid w:val="00B927CE"/>
    <w:rsid w:val="00B92B88"/>
    <w:rsid w:val="00B9312F"/>
    <w:rsid w:val="00B931DC"/>
    <w:rsid w:val="00B938E4"/>
    <w:rsid w:val="00B93BA8"/>
    <w:rsid w:val="00B942B5"/>
    <w:rsid w:val="00B94A95"/>
    <w:rsid w:val="00B94B1D"/>
    <w:rsid w:val="00B94DFE"/>
    <w:rsid w:val="00B95A64"/>
    <w:rsid w:val="00B96434"/>
    <w:rsid w:val="00BA1103"/>
    <w:rsid w:val="00BA155B"/>
    <w:rsid w:val="00BA15A4"/>
    <w:rsid w:val="00BA1F7C"/>
    <w:rsid w:val="00BA229A"/>
    <w:rsid w:val="00BA22BA"/>
    <w:rsid w:val="00BA2321"/>
    <w:rsid w:val="00BA27AB"/>
    <w:rsid w:val="00BA298B"/>
    <w:rsid w:val="00BA2A27"/>
    <w:rsid w:val="00BA3D81"/>
    <w:rsid w:val="00BA4211"/>
    <w:rsid w:val="00BA5A9C"/>
    <w:rsid w:val="00BA603C"/>
    <w:rsid w:val="00BA7AA3"/>
    <w:rsid w:val="00BA7C74"/>
    <w:rsid w:val="00BA7C78"/>
    <w:rsid w:val="00BB0B1B"/>
    <w:rsid w:val="00BB0E0A"/>
    <w:rsid w:val="00BB1F49"/>
    <w:rsid w:val="00BB3431"/>
    <w:rsid w:val="00BB3D14"/>
    <w:rsid w:val="00BB4E99"/>
    <w:rsid w:val="00BB7BDE"/>
    <w:rsid w:val="00BB7C3E"/>
    <w:rsid w:val="00BB7C9E"/>
    <w:rsid w:val="00BC0172"/>
    <w:rsid w:val="00BC09CA"/>
    <w:rsid w:val="00BC1F96"/>
    <w:rsid w:val="00BC512F"/>
    <w:rsid w:val="00BC53D6"/>
    <w:rsid w:val="00BC5606"/>
    <w:rsid w:val="00BC7854"/>
    <w:rsid w:val="00BC7AEF"/>
    <w:rsid w:val="00BD0EA1"/>
    <w:rsid w:val="00BD1D77"/>
    <w:rsid w:val="00BD22ED"/>
    <w:rsid w:val="00BD242B"/>
    <w:rsid w:val="00BD357F"/>
    <w:rsid w:val="00BD4690"/>
    <w:rsid w:val="00BD55E0"/>
    <w:rsid w:val="00BD5D1A"/>
    <w:rsid w:val="00BD6290"/>
    <w:rsid w:val="00BD6395"/>
    <w:rsid w:val="00BE3E18"/>
    <w:rsid w:val="00BE5D93"/>
    <w:rsid w:val="00BE661A"/>
    <w:rsid w:val="00BF052A"/>
    <w:rsid w:val="00BF0F9D"/>
    <w:rsid w:val="00BF188B"/>
    <w:rsid w:val="00BF1F94"/>
    <w:rsid w:val="00BF2A0C"/>
    <w:rsid w:val="00BF2E58"/>
    <w:rsid w:val="00BF2FD7"/>
    <w:rsid w:val="00BF35BB"/>
    <w:rsid w:val="00BF35F6"/>
    <w:rsid w:val="00BF3D2D"/>
    <w:rsid w:val="00BF4E59"/>
    <w:rsid w:val="00BF54BC"/>
    <w:rsid w:val="00BF649E"/>
    <w:rsid w:val="00BF6678"/>
    <w:rsid w:val="00BF7489"/>
    <w:rsid w:val="00C00D47"/>
    <w:rsid w:val="00C01318"/>
    <w:rsid w:val="00C01992"/>
    <w:rsid w:val="00C019B0"/>
    <w:rsid w:val="00C01A5A"/>
    <w:rsid w:val="00C0343B"/>
    <w:rsid w:val="00C034B7"/>
    <w:rsid w:val="00C07216"/>
    <w:rsid w:val="00C07CF4"/>
    <w:rsid w:val="00C07D0B"/>
    <w:rsid w:val="00C116E7"/>
    <w:rsid w:val="00C119A1"/>
    <w:rsid w:val="00C11EC0"/>
    <w:rsid w:val="00C13A23"/>
    <w:rsid w:val="00C148DE"/>
    <w:rsid w:val="00C14B4A"/>
    <w:rsid w:val="00C158DD"/>
    <w:rsid w:val="00C15A54"/>
    <w:rsid w:val="00C16B2B"/>
    <w:rsid w:val="00C171AC"/>
    <w:rsid w:val="00C20EB6"/>
    <w:rsid w:val="00C20EEC"/>
    <w:rsid w:val="00C21696"/>
    <w:rsid w:val="00C21E9F"/>
    <w:rsid w:val="00C224A9"/>
    <w:rsid w:val="00C22510"/>
    <w:rsid w:val="00C22B3A"/>
    <w:rsid w:val="00C22C54"/>
    <w:rsid w:val="00C23093"/>
    <w:rsid w:val="00C23D1E"/>
    <w:rsid w:val="00C249BB"/>
    <w:rsid w:val="00C26659"/>
    <w:rsid w:val="00C2751F"/>
    <w:rsid w:val="00C30A6A"/>
    <w:rsid w:val="00C3235A"/>
    <w:rsid w:val="00C3338A"/>
    <w:rsid w:val="00C342E9"/>
    <w:rsid w:val="00C347A4"/>
    <w:rsid w:val="00C34C62"/>
    <w:rsid w:val="00C354E4"/>
    <w:rsid w:val="00C3621F"/>
    <w:rsid w:val="00C36332"/>
    <w:rsid w:val="00C36469"/>
    <w:rsid w:val="00C36705"/>
    <w:rsid w:val="00C376A8"/>
    <w:rsid w:val="00C4058D"/>
    <w:rsid w:val="00C40D91"/>
    <w:rsid w:val="00C422FC"/>
    <w:rsid w:val="00C4285D"/>
    <w:rsid w:val="00C429D9"/>
    <w:rsid w:val="00C42B28"/>
    <w:rsid w:val="00C42DFB"/>
    <w:rsid w:val="00C44122"/>
    <w:rsid w:val="00C4708C"/>
    <w:rsid w:val="00C47438"/>
    <w:rsid w:val="00C50551"/>
    <w:rsid w:val="00C50681"/>
    <w:rsid w:val="00C517D4"/>
    <w:rsid w:val="00C51CB7"/>
    <w:rsid w:val="00C54149"/>
    <w:rsid w:val="00C54691"/>
    <w:rsid w:val="00C54853"/>
    <w:rsid w:val="00C5548A"/>
    <w:rsid w:val="00C56491"/>
    <w:rsid w:val="00C5754F"/>
    <w:rsid w:val="00C5789F"/>
    <w:rsid w:val="00C57B00"/>
    <w:rsid w:val="00C6113E"/>
    <w:rsid w:val="00C636D4"/>
    <w:rsid w:val="00C63B59"/>
    <w:rsid w:val="00C64123"/>
    <w:rsid w:val="00C649CD"/>
    <w:rsid w:val="00C67CBC"/>
    <w:rsid w:val="00C70663"/>
    <w:rsid w:val="00C716AC"/>
    <w:rsid w:val="00C718E0"/>
    <w:rsid w:val="00C719D5"/>
    <w:rsid w:val="00C72046"/>
    <w:rsid w:val="00C7276C"/>
    <w:rsid w:val="00C735E3"/>
    <w:rsid w:val="00C74045"/>
    <w:rsid w:val="00C743D2"/>
    <w:rsid w:val="00C74891"/>
    <w:rsid w:val="00C75348"/>
    <w:rsid w:val="00C82262"/>
    <w:rsid w:val="00C8448A"/>
    <w:rsid w:val="00C859B3"/>
    <w:rsid w:val="00C85CF3"/>
    <w:rsid w:val="00C90361"/>
    <w:rsid w:val="00C90435"/>
    <w:rsid w:val="00C909AB"/>
    <w:rsid w:val="00C90BE6"/>
    <w:rsid w:val="00C90FDE"/>
    <w:rsid w:val="00C91900"/>
    <w:rsid w:val="00C93181"/>
    <w:rsid w:val="00C93907"/>
    <w:rsid w:val="00C94876"/>
    <w:rsid w:val="00C94D3C"/>
    <w:rsid w:val="00C96360"/>
    <w:rsid w:val="00C96652"/>
    <w:rsid w:val="00C96AF8"/>
    <w:rsid w:val="00C97002"/>
    <w:rsid w:val="00CA023B"/>
    <w:rsid w:val="00CA0EC4"/>
    <w:rsid w:val="00CA1333"/>
    <w:rsid w:val="00CA17E9"/>
    <w:rsid w:val="00CA2707"/>
    <w:rsid w:val="00CA3260"/>
    <w:rsid w:val="00CA3B4F"/>
    <w:rsid w:val="00CA3C39"/>
    <w:rsid w:val="00CA4B5C"/>
    <w:rsid w:val="00CA5D30"/>
    <w:rsid w:val="00CA70AC"/>
    <w:rsid w:val="00CA7675"/>
    <w:rsid w:val="00CA784B"/>
    <w:rsid w:val="00CB05D9"/>
    <w:rsid w:val="00CB06E1"/>
    <w:rsid w:val="00CB083E"/>
    <w:rsid w:val="00CB196D"/>
    <w:rsid w:val="00CB2929"/>
    <w:rsid w:val="00CB3280"/>
    <w:rsid w:val="00CB37F7"/>
    <w:rsid w:val="00CB439C"/>
    <w:rsid w:val="00CB4B7A"/>
    <w:rsid w:val="00CB4E34"/>
    <w:rsid w:val="00CB5041"/>
    <w:rsid w:val="00CB56DF"/>
    <w:rsid w:val="00CB5C84"/>
    <w:rsid w:val="00CB7132"/>
    <w:rsid w:val="00CB7762"/>
    <w:rsid w:val="00CB7D0B"/>
    <w:rsid w:val="00CC0C18"/>
    <w:rsid w:val="00CC0FAC"/>
    <w:rsid w:val="00CC30BD"/>
    <w:rsid w:val="00CC33A5"/>
    <w:rsid w:val="00CC409D"/>
    <w:rsid w:val="00CC44F8"/>
    <w:rsid w:val="00CC6385"/>
    <w:rsid w:val="00CC64EE"/>
    <w:rsid w:val="00CC6A6A"/>
    <w:rsid w:val="00CC7E73"/>
    <w:rsid w:val="00CD13A7"/>
    <w:rsid w:val="00CD1FE6"/>
    <w:rsid w:val="00CD2AA1"/>
    <w:rsid w:val="00CD2F7F"/>
    <w:rsid w:val="00CD3F55"/>
    <w:rsid w:val="00CD441A"/>
    <w:rsid w:val="00CD47D5"/>
    <w:rsid w:val="00CD5345"/>
    <w:rsid w:val="00CD6021"/>
    <w:rsid w:val="00CD6206"/>
    <w:rsid w:val="00CD6EE0"/>
    <w:rsid w:val="00CD71C4"/>
    <w:rsid w:val="00CD7585"/>
    <w:rsid w:val="00CE0CFA"/>
    <w:rsid w:val="00CE0D4F"/>
    <w:rsid w:val="00CE17CB"/>
    <w:rsid w:val="00CE1E10"/>
    <w:rsid w:val="00CE1F94"/>
    <w:rsid w:val="00CE1FA9"/>
    <w:rsid w:val="00CE2097"/>
    <w:rsid w:val="00CE4E8E"/>
    <w:rsid w:val="00CE5F09"/>
    <w:rsid w:val="00CE7ABF"/>
    <w:rsid w:val="00CF00EA"/>
    <w:rsid w:val="00CF149F"/>
    <w:rsid w:val="00CF1D4F"/>
    <w:rsid w:val="00CF2097"/>
    <w:rsid w:val="00CF2A5E"/>
    <w:rsid w:val="00CF3CD6"/>
    <w:rsid w:val="00CF5B2E"/>
    <w:rsid w:val="00CF5F53"/>
    <w:rsid w:val="00CF713C"/>
    <w:rsid w:val="00D00885"/>
    <w:rsid w:val="00D00CDA"/>
    <w:rsid w:val="00D011EF"/>
    <w:rsid w:val="00D014EE"/>
    <w:rsid w:val="00D01CB6"/>
    <w:rsid w:val="00D02010"/>
    <w:rsid w:val="00D02646"/>
    <w:rsid w:val="00D03493"/>
    <w:rsid w:val="00D03E1C"/>
    <w:rsid w:val="00D06D3C"/>
    <w:rsid w:val="00D07A68"/>
    <w:rsid w:val="00D10648"/>
    <w:rsid w:val="00D109D8"/>
    <w:rsid w:val="00D110E1"/>
    <w:rsid w:val="00D1221E"/>
    <w:rsid w:val="00D12F54"/>
    <w:rsid w:val="00D133D7"/>
    <w:rsid w:val="00D13CF3"/>
    <w:rsid w:val="00D203F7"/>
    <w:rsid w:val="00D22101"/>
    <w:rsid w:val="00D2330A"/>
    <w:rsid w:val="00D23D5E"/>
    <w:rsid w:val="00D24B0F"/>
    <w:rsid w:val="00D25F75"/>
    <w:rsid w:val="00D263FD"/>
    <w:rsid w:val="00D26646"/>
    <w:rsid w:val="00D2693F"/>
    <w:rsid w:val="00D308EA"/>
    <w:rsid w:val="00D313A4"/>
    <w:rsid w:val="00D3282C"/>
    <w:rsid w:val="00D32A23"/>
    <w:rsid w:val="00D344F7"/>
    <w:rsid w:val="00D353B1"/>
    <w:rsid w:val="00D35AC1"/>
    <w:rsid w:val="00D371F1"/>
    <w:rsid w:val="00D413EC"/>
    <w:rsid w:val="00D43769"/>
    <w:rsid w:val="00D439FF"/>
    <w:rsid w:val="00D446FA"/>
    <w:rsid w:val="00D470F2"/>
    <w:rsid w:val="00D50C00"/>
    <w:rsid w:val="00D50F4D"/>
    <w:rsid w:val="00D51BCE"/>
    <w:rsid w:val="00D51EC3"/>
    <w:rsid w:val="00D54D17"/>
    <w:rsid w:val="00D55EBB"/>
    <w:rsid w:val="00D56D67"/>
    <w:rsid w:val="00D57222"/>
    <w:rsid w:val="00D57896"/>
    <w:rsid w:val="00D57FCD"/>
    <w:rsid w:val="00D6079B"/>
    <w:rsid w:val="00D608EA"/>
    <w:rsid w:val="00D6202C"/>
    <w:rsid w:val="00D66D49"/>
    <w:rsid w:val="00D706B1"/>
    <w:rsid w:val="00D71D87"/>
    <w:rsid w:val="00D72F48"/>
    <w:rsid w:val="00D74170"/>
    <w:rsid w:val="00D74722"/>
    <w:rsid w:val="00D7474C"/>
    <w:rsid w:val="00D75874"/>
    <w:rsid w:val="00D75E0C"/>
    <w:rsid w:val="00D76617"/>
    <w:rsid w:val="00D7683A"/>
    <w:rsid w:val="00D77232"/>
    <w:rsid w:val="00D800AB"/>
    <w:rsid w:val="00D80880"/>
    <w:rsid w:val="00D80BE6"/>
    <w:rsid w:val="00D81880"/>
    <w:rsid w:val="00D81A7B"/>
    <w:rsid w:val="00D8379C"/>
    <w:rsid w:val="00D83DD9"/>
    <w:rsid w:val="00D8426F"/>
    <w:rsid w:val="00D84595"/>
    <w:rsid w:val="00D84756"/>
    <w:rsid w:val="00D850F3"/>
    <w:rsid w:val="00D8557D"/>
    <w:rsid w:val="00D857AA"/>
    <w:rsid w:val="00D85896"/>
    <w:rsid w:val="00D87325"/>
    <w:rsid w:val="00D8788F"/>
    <w:rsid w:val="00D87FF4"/>
    <w:rsid w:val="00D900E2"/>
    <w:rsid w:val="00D90F3F"/>
    <w:rsid w:val="00D9101B"/>
    <w:rsid w:val="00D92661"/>
    <w:rsid w:val="00D932D8"/>
    <w:rsid w:val="00D93F9C"/>
    <w:rsid w:val="00D94177"/>
    <w:rsid w:val="00D94DD7"/>
    <w:rsid w:val="00D9536B"/>
    <w:rsid w:val="00D95E1B"/>
    <w:rsid w:val="00D96DAC"/>
    <w:rsid w:val="00D97212"/>
    <w:rsid w:val="00D9737B"/>
    <w:rsid w:val="00DA0112"/>
    <w:rsid w:val="00DA0313"/>
    <w:rsid w:val="00DA1373"/>
    <w:rsid w:val="00DA169F"/>
    <w:rsid w:val="00DA1D52"/>
    <w:rsid w:val="00DA25C8"/>
    <w:rsid w:val="00DA2657"/>
    <w:rsid w:val="00DA2661"/>
    <w:rsid w:val="00DA31F5"/>
    <w:rsid w:val="00DA4437"/>
    <w:rsid w:val="00DA59D2"/>
    <w:rsid w:val="00DA7AE6"/>
    <w:rsid w:val="00DA7FDA"/>
    <w:rsid w:val="00DB3F51"/>
    <w:rsid w:val="00DB4306"/>
    <w:rsid w:val="00DB4BDE"/>
    <w:rsid w:val="00DB5D67"/>
    <w:rsid w:val="00DB605A"/>
    <w:rsid w:val="00DB6C63"/>
    <w:rsid w:val="00DB7084"/>
    <w:rsid w:val="00DB7BB3"/>
    <w:rsid w:val="00DB7C1E"/>
    <w:rsid w:val="00DC1556"/>
    <w:rsid w:val="00DC15E3"/>
    <w:rsid w:val="00DC26DD"/>
    <w:rsid w:val="00DC3169"/>
    <w:rsid w:val="00DC32CD"/>
    <w:rsid w:val="00DC472B"/>
    <w:rsid w:val="00DC49B6"/>
    <w:rsid w:val="00DC51F1"/>
    <w:rsid w:val="00DC5DAC"/>
    <w:rsid w:val="00DC6A62"/>
    <w:rsid w:val="00DC75CD"/>
    <w:rsid w:val="00DC7A00"/>
    <w:rsid w:val="00DD0471"/>
    <w:rsid w:val="00DD0F15"/>
    <w:rsid w:val="00DD117C"/>
    <w:rsid w:val="00DD1ADB"/>
    <w:rsid w:val="00DD2105"/>
    <w:rsid w:val="00DD344E"/>
    <w:rsid w:val="00DD3566"/>
    <w:rsid w:val="00DD4DBC"/>
    <w:rsid w:val="00DD5172"/>
    <w:rsid w:val="00DD52C2"/>
    <w:rsid w:val="00DD5368"/>
    <w:rsid w:val="00DD5D42"/>
    <w:rsid w:val="00DD7253"/>
    <w:rsid w:val="00DD7EE9"/>
    <w:rsid w:val="00DE289E"/>
    <w:rsid w:val="00DE549B"/>
    <w:rsid w:val="00DE5AC3"/>
    <w:rsid w:val="00DE5C22"/>
    <w:rsid w:val="00DE6718"/>
    <w:rsid w:val="00DE67A4"/>
    <w:rsid w:val="00DE7D92"/>
    <w:rsid w:val="00DE7DAD"/>
    <w:rsid w:val="00DF0326"/>
    <w:rsid w:val="00DF0476"/>
    <w:rsid w:val="00DF07D8"/>
    <w:rsid w:val="00DF080C"/>
    <w:rsid w:val="00DF1667"/>
    <w:rsid w:val="00DF24A0"/>
    <w:rsid w:val="00DF3D2D"/>
    <w:rsid w:val="00DF41FD"/>
    <w:rsid w:val="00DF4A2F"/>
    <w:rsid w:val="00DF4ADE"/>
    <w:rsid w:val="00DF5378"/>
    <w:rsid w:val="00DF5B63"/>
    <w:rsid w:val="00DF7643"/>
    <w:rsid w:val="00E00716"/>
    <w:rsid w:val="00E02D1C"/>
    <w:rsid w:val="00E040CD"/>
    <w:rsid w:val="00E049F4"/>
    <w:rsid w:val="00E061F1"/>
    <w:rsid w:val="00E06243"/>
    <w:rsid w:val="00E07F80"/>
    <w:rsid w:val="00E1027C"/>
    <w:rsid w:val="00E10494"/>
    <w:rsid w:val="00E10D17"/>
    <w:rsid w:val="00E10E13"/>
    <w:rsid w:val="00E11445"/>
    <w:rsid w:val="00E135DA"/>
    <w:rsid w:val="00E13698"/>
    <w:rsid w:val="00E137CA"/>
    <w:rsid w:val="00E13AEC"/>
    <w:rsid w:val="00E13DA6"/>
    <w:rsid w:val="00E14A28"/>
    <w:rsid w:val="00E14AB8"/>
    <w:rsid w:val="00E15E38"/>
    <w:rsid w:val="00E16356"/>
    <w:rsid w:val="00E179F1"/>
    <w:rsid w:val="00E201AD"/>
    <w:rsid w:val="00E20D10"/>
    <w:rsid w:val="00E21F96"/>
    <w:rsid w:val="00E21FC2"/>
    <w:rsid w:val="00E22724"/>
    <w:rsid w:val="00E22CE3"/>
    <w:rsid w:val="00E22DDF"/>
    <w:rsid w:val="00E241A0"/>
    <w:rsid w:val="00E242A1"/>
    <w:rsid w:val="00E24959"/>
    <w:rsid w:val="00E24A65"/>
    <w:rsid w:val="00E25076"/>
    <w:rsid w:val="00E253FF"/>
    <w:rsid w:val="00E262A7"/>
    <w:rsid w:val="00E26393"/>
    <w:rsid w:val="00E267B3"/>
    <w:rsid w:val="00E26A7E"/>
    <w:rsid w:val="00E271CB"/>
    <w:rsid w:val="00E27B82"/>
    <w:rsid w:val="00E3044E"/>
    <w:rsid w:val="00E312BD"/>
    <w:rsid w:val="00E33DB0"/>
    <w:rsid w:val="00E33F69"/>
    <w:rsid w:val="00E36A30"/>
    <w:rsid w:val="00E372B7"/>
    <w:rsid w:val="00E37CEA"/>
    <w:rsid w:val="00E42E10"/>
    <w:rsid w:val="00E43B72"/>
    <w:rsid w:val="00E44E68"/>
    <w:rsid w:val="00E44F81"/>
    <w:rsid w:val="00E45D78"/>
    <w:rsid w:val="00E45DEB"/>
    <w:rsid w:val="00E4658E"/>
    <w:rsid w:val="00E46DB5"/>
    <w:rsid w:val="00E509EC"/>
    <w:rsid w:val="00E50F21"/>
    <w:rsid w:val="00E51C17"/>
    <w:rsid w:val="00E51C5A"/>
    <w:rsid w:val="00E52271"/>
    <w:rsid w:val="00E522D2"/>
    <w:rsid w:val="00E52715"/>
    <w:rsid w:val="00E53F52"/>
    <w:rsid w:val="00E53FD0"/>
    <w:rsid w:val="00E540AF"/>
    <w:rsid w:val="00E553E3"/>
    <w:rsid w:val="00E55478"/>
    <w:rsid w:val="00E557A7"/>
    <w:rsid w:val="00E56730"/>
    <w:rsid w:val="00E56FEE"/>
    <w:rsid w:val="00E574DC"/>
    <w:rsid w:val="00E6057F"/>
    <w:rsid w:val="00E615FD"/>
    <w:rsid w:val="00E61801"/>
    <w:rsid w:val="00E62EAD"/>
    <w:rsid w:val="00E6326E"/>
    <w:rsid w:val="00E64DC2"/>
    <w:rsid w:val="00E6543E"/>
    <w:rsid w:val="00E656ED"/>
    <w:rsid w:val="00E66631"/>
    <w:rsid w:val="00E66DB6"/>
    <w:rsid w:val="00E67141"/>
    <w:rsid w:val="00E67544"/>
    <w:rsid w:val="00E67718"/>
    <w:rsid w:val="00E67FEF"/>
    <w:rsid w:val="00E70388"/>
    <w:rsid w:val="00E706F5"/>
    <w:rsid w:val="00E71E38"/>
    <w:rsid w:val="00E730E8"/>
    <w:rsid w:val="00E73CF0"/>
    <w:rsid w:val="00E74B19"/>
    <w:rsid w:val="00E769A0"/>
    <w:rsid w:val="00E76BB8"/>
    <w:rsid w:val="00E76C79"/>
    <w:rsid w:val="00E80743"/>
    <w:rsid w:val="00E80E8F"/>
    <w:rsid w:val="00E81624"/>
    <w:rsid w:val="00E81760"/>
    <w:rsid w:val="00E821D2"/>
    <w:rsid w:val="00E82F9A"/>
    <w:rsid w:val="00E8482E"/>
    <w:rsid w:val="00E854F2"/>
    <w:rsid w:val="00E8567E"/>
    <w:rsid w:val="00E864ED"/>
    <w:rsid w:val="00E86AFA"/>
    <w:rsid w:val="00E90EF7"/>
    <w:rsid w:val="00E922BB"/>
    <w:rsid w:val="00E925A8"/>
    <w:rsid w:val="00E933BA"/>
    <w:rsid w:val="00E937AB"/>
    <w:rsid w:val="00E93D50"/>
    <w:rsid w:val="00E94107"/>
    <w:rsid w:val="00E9414F"/>
    <w:rsid w:val="00E948AC"/>
    <w:rsid w:val="00E95B5E"/>
    <w:rsid w:val="00E95E37"/>
    <w:rsid w:val="00E95EB2"/>
    <w:rsid w:val="00E95F15"/>
    <w:rsid w:val="00E96010"/>
    <w:rsid w:val="00E96E87"/>
    <w:rsid w:val="00E96F5B"/>
    <w:rsid w:val="00E97806"/>
    <w:rsid w:val="00E9794E"/>
    <w:rsid w:val="00E97FF7"/>
    <w:rsid w:val="00EA0853"/>
    <w:rsid w:val="00EA1DE2"/>
    <w:rsid w:val="00EA250C"/>
    <w:rsid w:val="00EA319B"/>
    <w:rsid w:val="00EA3533"/>
    <w:rsid w:val="00EA4E17"/>
    <w:rsid w:val="00EA6DBE"/>
    <w:rsid w:val="00EA75F4"/>
    <w:rsid w:val="00EB11C1"/>
    <w:rsid w:val="00EB3237"/>
    <w:rsid w:val="00EB3768"/>
    <w:rsid w:val="00EB3F6E"/>
    <w:rsid w:val="00EB4099"/>
    <w:rsid w:val="00EB4908"/>
    <w:rsid w:val="00EB5615"/>
    <w:rsid w:val="00EB6387"/>
    <w:rsid w:val="00EB6C54"/>
    <w:rsid w:val="00EB6FF7"/>
    <w:rsid w:val="00EB70F7"/>
    <w:rsid w:val="00EB7D82"/>
    <w:rsid w:val="00EB7FBA"/>
    <w:rsid w:val="00EC04EB"/>
    <w:rsid w:val="00EC08DB"/>
    <w:rsid w:val="00EC0F8F"/>
    <w:rsid w:val="00EC1A94"/>
    <w:rsid w:val="00EC1AFE"/>
    <w:rsid w:val="00EC2939"/>
    <w:rsid w:val="00EC3396"/>
    <w:rsid w:val="00EC4B1F"/>
    <w:rsid w:val="00EC5E4B"/>
    <w:rsid w:val="00EC611C"/>
    <w:rsid w:val="00EC644B"/>
    <w:rsid w:val="00EC665F"/>
    <w:rsid w:val="00EC6C7C"/>
    <w:rsid w:val="00EC72EE"/>
    <w:rsid w:val="00ED12BA"/>
    <w:rsid w:val="00ED14E0"/>
    <w:rsid w:val="00ED1553"/>
    <w:rsid w:val="00ED59FA"/>
    <w:rsid w:val="00ED5E05"/>
    <w:rsid w:val="00ED6688"/>
    <w:rsid w:val="00ED6CFA"/>
    <w:rsid w:val="00ED73AC"/>
    <w:rsid w:val="00EE0BAA"/>
    <w:rsid w:val="00EE1C48"/>
    <w:rsid w:val="00EE1EC7"/>
    <w:rsid w:val="00EE270C"/>
    <w:rsid w:val="00EE275A"/>
    <w:rsid w:val="00EE2FBE"/>
    <w:rsid w:val="00EE3884"/>
    <w:rsid w:val="00EE43AD"/>
    <w:rsid w:val="00EE45F2"/>
    <w:rsid w:val="00EE4DB0"/>
    <w:rsid w:val="00EE50C7"/>
    <w:rsid w:val="00EE6849"/>
    <w:rsid w:val="00EE7A1C"/>
    <w:rsid w:val="00EF0983"/>
    <w:rsid w:val="00EF0DB3"/>
    <w:rsid w:val="00EF1182"/>
    <w:rsid w:val="00EF15B9"/>
    <w:rsid w:val="00EF1CE9"/>
    <w:rsid w:val="00EF3A01"/>
    <w:rsid w:val="00EF48F3"/>
    <w:rsid w:val="00EF4F10"/>
    <w:rsid w:val="00EF54B2"/>
    <w:rsid w:val="00EF743D"/>
    <w:rsid w:val="00EF7856"/>
    <w:rsid w:val="00EF7D3F"/>
    <w:rsid w:val="00F000A1"/>
    <w:rsid w:val="00F00E9D"/>
    <w:rsid w:val="00F00F6C"/>
    <w:rsid w:val="00F016C8"/>
    <w:rsid w:val="00F01DD0"/>
    <w:rsid w:val="00F0239F"/>
    <w:rsid w:val="00F02803"/>
    <w:rsid w:val="00F02F6F"/>
    <w:rsid w:val="00F03C66"/>
    <w:rsid w:val="00F041DF"/>
    <w:rsid w:val="00F04B2F"/>
    <w:rsid w:val="00F05981"/>
    <w:rsid w:val="00F07386"/>
    <w:rsid w:val="00F1108A"/>
    <w:rsid w:val="00F1142A"/>
    <w:rsid w:val="00F1192D"/>
    <w:rsid w:val="00F11E2A"/>
    <w:rsid w:val="00F12B4D"/>
    <w:rsid w:val="00F12FA7"/>
    <w:rsid w:val="00F131BB"/>
    <w:rsid w:val="00F13727"/>
    <w:rsid w:val="00F1456B"/>
    <w:rsid w:val="00F15CB1"/>
    <w:rsid w:val="00F16E74"/>
    <w:rsid w:val="00F17C63"/>
    <w:rsid w:val="00F2090D"/>
    <w:rsid w:val="00F2098C"/>
    <w:rsid w:val="00F21AB2"/>
    <w:rsid w:val="00F228AA"/>
    <w:rsid w:val="00F22B43"/>
    <w:rsid w:val="00F22D00"/>
    <w:rsid w:val="00F230CD"/>
    <w:rsid w:val="00F23CD2"/>
    <w:rsid w:val="00F2465C"/>
    <w:rsid w:val="00F2526A"/>
    <w:rsid w:val="00F2624A"/>
    <w:rsid w:val="00F262E0"/>
    <w:rsid w:val="00F26991"/>
    <w:rsid w:val="00F26E7F"/>
    <w:rsid w:val="00F2762F"/>
    <w:rsid w:val="00F304E5"/>
    <w:rsid w:val="00F30C6B"/>
    <w:rsid w:val="00F32E4E"/>
    <w:rsid w:val="00F33699"/>
    <w:rsid w:val="00F339E3"/>
    <w:rsid w:val="00F34FB8"/>
    <w:rsid w:val="00F3500A"/>
    <w:rsid w:val="00F3624C"/>
    <w:rsid w:val="00F366CE"/>
    <w:rsid w:val="00F36B49"/>
    <w:rsid w:val="00F36CC2"/>
    <w:rsid w:val="00F408B8"/>
    <w:rsid w:val="00F40D36"/>
    <w:rsid w:val="00F41A39"/>
    <w:rsid w:val="00F42510"/>
    <w:rsid w:val="00F43699"/>
    <w:rsid w:val="00F43F55"/>
    <w:rsid w:val="00F4403B"/>
    <w:rsid w:val="00F44E32"/>
    <w:rsid w:val="00F454F8"/>
    <w:rsid w:val="00F45572"/>
    <w:rsid w:val="00F4605B"/>
    <w:rsid w:val="00F463A9"/>
    <w:rsid w:val="00F4796E"/>
    <w:rsid w:val="00F47CE1"/>
    <w:rsid w:val="00F47ECB"/>
    <w:rsid w:val="00F50311"/>
    <w:rsid w:val="00F52AB3"/>
    <w:rsid w:val="00F5305C"/>
    <w:rsid w:val="00F53D88"/>
    <w:rsid w:val="00F5427E"/>
    <w:rsid w:val="00F54506"/>
    <w:rsid w:val="00F55B39"/>
    <w:rsid w:val="00F5616B"/>
    <w:rsid w:val="00F600A2"/>
    <w:rsid w:val="00F603D6"/>
    <w:rsid w:val="00F60625"/>
    <w:rsid w:val="00F60950"/>
    <w:rsid w:val="00F60FD4"/>
    <w:rsid w:val="00F61051"/>
    <w:rsid w:val="00F6169B"/>
    <w:rsid w:val="00F61DE9"/>
    <w:rsid w:val="00F62731"/>
    <w:rsid w:val="00F6274E"/>
    <w:rsid w:val="00F62865"/>
    <w:rsid w:val="00F643E7"/>
    <w:rsid w:val="00F64F12"/>
    <w:rsid w:val="00F655BE"/>
    <w:rsid w:val="00F65B61"/>
    <w:rsid w:val="00F66827"/>
    <w:rsid w:val="00F6737D"/>
    <w:rsid w:val="00F67925"/>
    <w:rsid w:val="00F67D0C"/>
    <w:rsid w:val="00F7039C"/>
    <w:rsid w:val="00F7057C"/>
    <w:rsid w:val="00F70995"/>
    <w:rsid w:val="00F70B88"/>
    <w:rsid w:val="00F71A62"/>
    <w:rsid w:val="00F730BF"/>
    <w:rsid w:val="00F7346A"/>
    <w:rsid w:val="00F75925"/>
    <w:rsid w:val="00F75DB3"/>
    <w:rsid w:val="00F76EEB"/>
    <w:rsid w:val="00F76EF9"/>
    <w:rsid w:val="00F801AA"/>
    <w:rsid w:val="00F80AD5"/>
    <w:rsid w:val="00F80B0A"/>
    <w:rsid w:val="00F815E0"/>
    <w:rsid w:val="00F81933"/>
    <w:rsid w:val="00F85C85"/>
    <w:rsid w:val="00F9063E"/>
    <w:rsid w:val="00F918B9"/>
    <w:rsid w:val="00F92208"/>
    <w:rsid w:val="00F9306B"/>
    <w:rsid w:val="00F9317D"/>
    <w:rsid w:val="00F94877"/>
    <w:rsid w:val="00F95B2D"/>
    <w:rsid w:val="00F96016"/>
    <w:rsid w:val="00F96936"/>
    <w:rsid w:val="00F96EB0"/>
    <w:rsid w:val="00F978CE"/>
    <w:rsid w:val="00F97BCB"/>
    <w:rsid w:val="00FA2CE7"/>
    <w:rsid w:val="00FA5C7F"/>
    <w:rsid w:val="00FA615F"/>
    <w:rsid w:val="00FA6ACC"/>
    <w:rsid w:val="00FB0F11"/>
    <w:rsid w:val="00FB1E52"/>
    <w:rsid w:val="00FB33D0"/>
    <w:rsid w:val="00FB350F"/>
    <w:rsid w:val="00FB45AD"/>
    <w:rsid w:val="00FB5B39"/>
    <w:rsid w:val="00FB5F15"/>
    <w:rsid w:val="00FB6886"/>
    <w:rsid w:val="00FB6D7A"/>
    <w:rsid w:val="00FC0259"/>
    <w:rsid w:val="00FC0AEF"/>
    <w:rsid w:val="00FC0CF0"/>
    <w:rsid w:val="00FC16C5"/>
    <w:rsid w:val="00FC1A7A"/>
    <w:rsid w:val="00FC26F3"/>
    <w:rsid w:val="00FC279F"/>
    <w:rsid w:val="00FC2DB7"/>
    <w:rsid w:val="00FC336B"/>
    <w:rsid w:val="00FC3A43"/>
    <w:rsid w:val="00FC3F9B"/>
    <w:rsid w:val="00FC40F9"/>
    <w:rsid w:val="00FC4A62"/>
    <w:rsid w:val="00FC53C4"/>
    <w:rsid w:val="00FD2334"/>
    <w:rsid w:val="00FD2822"/>
    <w:rsid w:val="00FD2DFC"/>
    <w:rsid w:val="00FD46A8"/>
    <w:rsid w:val="00FD47B4"/>
    <w:rsid w:val="00FD47DE"/>
    <w:rsid w:val="00FD5082"/>
    <w:rsid w:val="00FD6159"/>
    <w:rsid w:val="00FD6892"/>
    <w:rsid w:val="00FD68C7"/>
    <w:rsid w:val="00FE010D"/>
    <w:rsid w:val="00FE0A0B"/>
    <w:rsid w:val="00FE0CBC"/>
    <w:rsid w:val="00FE16E2"/>
    <w:rsid w:val="00FE21FA"/>
    <w:rsid w:val="00FE2DE0"/>
    <w:rsid w:val="00FE3A72"/>
    <w:rsid w:val="00FE3A94"/>
    <w:rsid w:val="00FE3DB4"/>
    <w:rsid w:val="00FE488C"/>
    <w:rsid w:val="00FE73DC"/>
    <w:rsid w:val="00FE74FB"/>
    <w:rsid w:val="00FF0917"/>
    <w:rsid w:val="00FF1354"/>
    <w:rsid w:val="00FF14E3"/>
    <w:rsid w:val="00FF16A8"/>
    <w:rsid w:val="00FF2538"/>
    <w:rsid w:val="00FF36CD"/>
    <w:rsid w:val="00FF3FE1"/>
    <w:rsid w:val="00FF5C0A"/>
    <w:rsid w:val="00FF5DEC"/>
    <w:rsid w:val="00FF6F38"/>
    <w:rsid w:val="00FF7392"/>
    <w:rsid w:val="00FF769A"/>
    <w:rsid w:val="00FF7C9C"/>
    <w:rsid w:val="00FF7F16"/>
    <w:rsid w:val="01227287"/>
    <w:rsid w:val="01814B30"/>
    <w:rsid w:val="020817A0"/>
    <w:rsid w:val="02374744"/>
    <w:rsid w:val="02701B5D"/>
    <w:rsid w:val="02C97A13"/>
    <w:rsid w:val="02CE20A1"/>
    <w:rsid w:val="04675ECA"/>
    <w:rsid w:val="0510184F"/>
    <w:rsid w:val="05CB3DDC"/>
    <w:rsid w:val="06E61C7D"/>
    <w:rsid w:val="077773BD"/>
    <w:rsid w:val="07975956"/>
    <w:rsid w:val="079C0076"/>
    <w:rsid w:val="07A10E21"/>
    <w:rsid w:val="07B81CC7"/>
    <w:rsid w:val="080D63E4"/>
    <w:rsid w:val="081802DD"/>
    <w:rsid w:val="09645CE5"/>
    <w:rsid w:val="098963B4"/>
    <w:rsid w:val="09BA6DFF"/>
    <w:rsid w:val="09EE4433"/>
    <w:rsid w:val="0A447590"/>
    <w:rsid w:val="0AF457A0"/>
    <w:rsid w:val="0B295D83"/>
    <w:rsid w:val="0BD1375C"/>
    <w:rsid w:val="0BDF5D3A"/>
    <w:rsid w:val="0BF556FA"/>
    <w:rsid w:val="0C034F92"/>
    <w:rsid w:val="0C101E92"/>
    <w:rsid w:val="0C5732F2"/>
    <w:rsid w:val="0CA50693"/>
    <w:rsid w:val="0CAC1A0E"/>
    <w:rsid w:val="0CF84138"/>
    <w:rsid w:val="0D4D1315"/>
    <w:rsid w:val="0EE21D18"/>
    <w:rsid w:val="0F5B4C5B"/>
    <w:rsid w:val="0FDE5C74"/>
    <w:rsid w:val="10000381"/>
    <w:rsid w:val="1007523D"/>
    <w:rsid w:val="10127FAA"/>
    <w:rsid w:val="10244739"/>
    <w:rsid w:val="10855B0B"/>
    <w:rsid w:val="1112104C"/>
    <w:rsid w:val="12D24039"/>
    <w:rsid w:val="132C76A8"/>
    <w:rsid w:val="13716735"/>
    <w:rsid w:val="13C24FDE"/>
    <w:rsid w:val="143C56D6"/>
    <w:rsid w:val="14492219"/>
    <w:rsid w:val="15064A08"/>
    <w:rsid w:val="1511148F"/>
    <w:rsid w:val="1558088F"/>
    <w:rsid w:val="15EE447E"/>
    <w:rsid w:val="174D630B"/>
    <w:rsid w:val="174F2BE0"/>
    <w:rsid w:val="17CA4610"/>
    <w:rsid w:val="18151BA2"/>
    <w:rsid w:val="1909019F"/>
    <w:rsid w:val="19684438"/>
    <w:rsid w:val="1A161E09"/>
    <w:rsid w:val="1C986190"/>
    <w:rsid w:val="1C9B1CF0"/>
    <w:rsid w:val="1CFE015E"/>
    <w:rsid w:val="1CFE3887"/>
    <w:rsid w:val="1D292622"/>
    <w:rsid w:val="1D7A2DD7"/>
    <w:rsid w:val="1DFD3205"/>
    <w:rsid w:val="1E576298"/>
    <w:rsid w:val="1E860BDE"/>
    <w:rsid w:val="1EE14811"/>
    <w:rsid w:val="1F4439C9"/>
    <w:rsid w:val="1FF235D7"/>
    <w:rsid w:val="20AB1784"/>
    <w:rsid w:val="21326F25"/>
    <w:rsid w:val="21CF5169"/>
    <w:rsid w:val="22AE553A"/>
    <w:rsid w:val="233B1F28"/>
    <w:rsid w:val="23EB22AA"/>
    <w:rsid w:val="244A421B"/>
    <w:rsid w:val="24B1351D"/>
    <w:rsid w:val="24DF6A71"/>
    <w:rsid w:val="256762EB"/>
    <w:rsid w:val="2569745B"/>
    <w:rsid w:val="268C2F00"/>
    <w:rsid w:val="270836C6"/>
    <w:rsid w:val="2749433E"/>
    <w:rsid w:val="277608F2"/>
    <w:rsid w:val="287601BB"/>
    <w:rsid w:val="289468F4"/>
    <w:rsid w:val="28D34C04"/>
    <w:rsid w:val="29393103"/>
    <w:rsid w:val="299B7E84"/>
    <w:rsid w:val="29A310B0"/>
    <w:rsid w:val="29B818CA"/>
    <w:rsid w:val="29BF4624"/>
    <w:rsid w:val="2A3D7E47"/>
    <w:rsid w:val="2ABA770E"/>
    <w:rsid w:val="2B9B25D2"/>
    <w:rsid w:val="2B9B6617"/>
    <w:rsid w:val="2B9F601C"/>
    <w:rsid w:val="2BA836DF"/>
    <w:rsid w:val="2BB50532"/>
    <w:rsid w:val="2BD8440C"/>
    <w:rsid w:val="2BDB5D48"/>
    <w:rsid w:val="2CB56CE8"/>
    <w:rsid w:val="2CD91483"/>
    <w:rsid w:val="2E3E5873"/>
    <w:rsid w:val="2E6B7785"/>
    <w:rsid w:val="2E7B6843"/>
    <w:rsid w:val="2E881535"/>
    <w:rsid w:val="2EAA01B5"/>
    <w:rsid w:val="2F5477A9"/>
    <w:rsid w:val="2FD87E3B"/>
    <w:rsid w:val="300A7329"/>
    <w:rsid w:val="3052037A"/>
    <w:rsid w:val="310917DA"/>
    <w:rsid w:val="31CD3A73"/>
    <w:rsid w:val="326D2DF7"/>
    <w:rsid w:val="32A00725"/>
    <w:rsid w:val="33541BA3"/>
    <w:rsid w:val="33FA0BB1"/>
    <w:rsid w:val="3501716E"/>
    <w:rsid w:val="3595311E"/>
    <w:rsid w:val="35A63234"/>
    <w:rsid w:val="361F24ED"/>
    <w:rsid w:val="365B42D2"/>
    <w:rsid w:val="36AF5A66"/>
    <w:rsid w:val="36B56B5E"/>
    <w:rsid w:val="36FE5F70"/>
    <w:rsid w:val="370558B4"/>
    <w:rsid w:val="37077621"/>
    <w:rsid w:val="385C48F8"/>
    <w:rsid w:val="386E7551"/>
    <w:rsid w:val="389F5B0D"/>
    <w:rsid w:val="38A96352"/>
    <w:rsid w:val="38EF297D"/>
    <w:rsid w:val="395E0256"/>
    <w:rsid w:val="3A3C356C"/>
    <w:rsid w:val="3A4B4B58"/>
    <w:rsid w:val="3ABE2D50"/>
    <w:rsid w:val="3ACB08BD"/>
    <w:rsid w:val="3AE93EB1"/>
    <w:rsid w:val="3B2F4A2E"/>
    <w:rsid w:val="3B4B1626"/>
    <w:rsid w:val="3B8A4BC8"/>
    <w:rsid w:val="3C154A24"/>
    <w:rsid w:val="3C5D2C37"/>
    <w:rsid w:val="3C6029EB"/>
    <w:rsid w:val="3C63493F"/>
    <w:rsid w:val="3CD4426A"/>
    <w:rsid w:val="3D07573C"/>
    <w:rsid w:val="3D205030"/>
    <w:rsid w:val="3D5B1E22"/>
    <w:rsid w:val="3D917C0C"/>
    <w:rsid w:val="3D9427D2"/>
    <w:rsid w:val="3D991AE2"/>
    <w:rsid w:val="3E105CDF"/>
    <w:rsid w:val="3E671E1D"/>
    <w:rsid w:val="3EEF383A"/>
    <w:rsid w:val="3F8C1999"/>
    <w:rsid w:val="3FCB3F18"/>
    <w:rsid w:val="3FD95158"/>
    <w:rsid w:val="401724A5"/>
    <w:rsid w:val="4209721F"/>
    <w:rsid w:val="423513E1"/>
    <w:rsid w:val="426527BC"/>
    <w:rsid w:val="42B7218C"/>
    <w:rsid w:val="434D69F9"/>
    <w:rsid w:val="43B0447B"/>
    <w:rsid w:val="44272431"/>
    <w:rsid w:val="444E258E"/>
    <w:rsid w:val="445952B6"/>
    <w:rsid w:val="44AD5B4E"/>
    <w:rsid w:val="45124AAE"/>
    <w:rsid w:val="466C1087"/>
    <w:rsid w:val="466E374E"/>
    <w:rsid w:val="46911BF5"/>
    <w:rsid w:val="46EB35FE"/>
    <w:rsid w:val="471469C1"/>
    <w:rsid w:val="47393F89"/>
    <w:rsid w:val="47BF5778"/>
    <w:rsid w:val="48FF2CE9"/>
    <w:rsid w:val="49EE03DB"/>
    <w:rsid w:val="49FA3235"/>
    <w:rsid w:val="4AF57663"/>
    <w:rsid w:val="4CA06A9E"/>
    <w:rsid w:val="4D0641BF"/>
    <w:rsid w:val="4D7B5D2D"/>
    <w:rsid w:val="4D835ECB"/>
    <w:rsid w:val="4DAC183B"/>
    <w:rsid w:val="4DAF1FE5"/>
    <w:rsid w:val="4E3B6F91"/>
    <w:rsid w:val="4F322B69"/>
    <w:rsid w:val="4FAC6641"/>
    <w:rsid w:val="4FF71DE5"/>
    <w:rsid w:val="502940AF"/>
    <w:rsid w:val="50973449"/>
    <w:rsid w:val="50E174BE"/>
    <w:rsid w:val="50FC442B"/>
    <w:rsid w:val="513C40C9"/>
    <w:rsid w:val="515277B9"/>
    <w:rsid w:val="51625F2B"/>
    <w:rsid w:val="52511A05"/>
    <w:rsid w:val="527C10FB"/>
    <w:rsid w:val="529B3BE1"/>
    <w:rsid w:val="536F66BD"/>
    <w:rsid w:val="53722E65"/>
    <w:rsid w:val="54D33331"/>
    <w:rsid w:val="54EB348C"/>
    <w:rsid w:val="55E306DA"/>
    <w:rsid w:val="583529D4"/>
    <w:rsid w:val="587255A0"/>
    <w:rsid w:val="589514DE"/>
    <w:rsid w:val="58BA6360"/>
    <w:rsid w:val="599E0F55"/>
    <w:rsid w:val="5A211A51"/>
    <w:rsid w:val="5A31000E"/>
    <w:rsid w:val="5A786D4F"/>
    <w:rsid w:val="5B1B0C85"/>
    <w:rsid w:val="5B320DC4"/>
    <w:rsid w:val="5B4F030A"/>
    <w:rsid w:val="5B606D3E"/>
    <w:rsid w:val="5B61593E"/>
    <w:rsid w:val="5B6B6C35"/>
    <w:rsid w:val="5B976941"/>
    <w:rsid w:val="5BB04F3E"/>
    <w:rsid w:val="5CA05BDD"/>
    <w:rsid w:val="5D541927"/>
    <w:rsid w:val="5E7A237F"/>
    <w:rsid w:val="5EB162E1"/>
    <w:rsid w:val="5F21098E"/>
    <w:rsid w:val="5F4873DD"/>
    <w:rsid w:val="60031CAC"/>
    <w:rsid w:val="604A38EB"/>
    <w:rsid w:val="607D6DA4"/>
    <w:rsid w:val="60A6751A"/>
    <w:rsid w:val="60F75A91"/>
    <w:rsid w:val="61B20BD3"/>
    <w:rsid w:val="61E82FF9"/>
    <w:rsid w:val="62706478"/>
    <w:rsid w:val="62A624E3"/>
    <w:rsid w:val="64436EEC"/>
    <w:rsid w:val="645401E5"/>
    <w:rsid w:val="6465575F"/>
    <w:rsid w:val="64B45B51"/>
    <w:rsid w:val="6585464F"/>
    <w:rsid w:val="6587643E"/>
    <w:rsid w:val="6688789A"/>
    <w:rsid w:val="671F6195"/>
    <w:rsid w:val="677C2C04"/>
    <w:rsid w:val="67BC2F08"/>
    <w:rsid w:val="67F168C6"/>
    <w:rsid w:val="68FA69D7"/>
    <w:rsid w:val="691B72CD"/>
    <w:rsid w:val="691D217E"/>
    <w:rsid w:val="69795504"/>
    <w:rsid w:val="69900776"/>
    <w:rsid w:val="69B34979"/>
    <w:rsid w:val="6ACE77C9"/>
    <w:rsid w:val="6B2E2503"/>
    <w:rsid w:val="6B5067F2"/>
    <w:rsid w:val="6C077D88"/>
    <w:rsid w:val="6CC41F33"/>
    <w:rsid w:val="6CC94FE4"/>
    <w:rsid w:val="6D9B14CF"/>
    <w:rsid w:val="6DE81D32"/>
    <w:rsid w:val="6E163CC1"/>
    <w:rsid w:val="6E56284F"/>
    <w:rsid w:val="6E9A67FE"/>
    <w:rsid w:val="6EB63338"/>
    <w:rsid w:val="701F4A39"/>
    <w:rsid w:val="704A420E"/>
    <w:rsid w:val="705B5F84"/>
    <w:rsid w:val="70820C25"/>
    <w:rsid w:val="70D90895"/>
    <w:rsid w:val="724238E6"/>
    <w:rsid w:val="7269768E"/>
    <w:rsid w:val="72CE3567"/>
    <w:rsid w:val="73156139"/>
    <w:rsid w:val="73514BEC"/>
    <w:rsid w:val="73ED5E8E"/>
    <w:rsid w:val="743B7047"/>
    <w:rsid w:val="74923E39"/>
    <w:rsid w:val="74D764EC"/>
    <w:rsid w:val="74DA7B87"/>
    <w:rsid w:val="756242FF"/>
    <w:rsid w:val="75A96FCB"/>
    <w:rsid w:val="75B553EE"/>
    <w:rsid w:val="771632D8"/>
    <w:rsid w:val="77672BEA"/>
    <w:rsid w:val="77741AD3"/>
    <w:rsid w:val="77C85CF5"/>
    <w:rsid w:val="77CC566C"/>
    <w:rsid w:val="780E662D"/>
    <w:rsid w:val="789D5B47"/>
    <w:rsid w:val="793C59C3"/>
    <w:rsid w:val="797E651F"/>
    <w:rsid w:val="7A3B08B3"/>
    <w:rsid w:val="7A7028D9"/>
    <w:rsid w:val="7AB743EA"/>
    <w:rsid w:val="7BFC6040"/>
    <w:rsid w:val="7C5E03ED"/>
    <w:rsid w:val="7D14785D"/>
    <w:rsid w:val="7D985701"/>
    <w:rsid w:val="7DB678C7"/>
    <w:rsid w:val="7E4F2374"/>
    <w:rsid w:val="7E9215C4"/>
    <w:rsid w:val="7EFA3586"/>
    <w:rsid w:val="7F363213"/>
    <w:rsid w:val="7F7D3DC2"/>
    <w:rsid w:val="7FF4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nhideWhenUsed="0" w:uiPriority="39" w:semiHidden="0"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left="720" w:hanging="720"/>
      <w:jc w:val="both"/>
    </w:pPr>
    <w:rPr>
      <w:rFonts w:ascii="Times New Roman" w:hAnsi="Times New Roman" w:eastAsia="宋体" w:cs="Times New Roman"/>
      <w:sz w:val="24"/>
      <w:szCs w:val="24"/>
      <w:lang w:val="en-US" w:eastAsia="en-US" w:bidi="ar-SA"/>
    </w:rPr>
  </w:style>
  <w:style w:type="paragraph" w:styleId="2">
    <w:name w:val="heading 1"/>
    <w:basedOn w:val="1"/>
    <w:next w:val="3"/>
    <w:link w:val="54"/>
    <w:qFormat/>
    <w:uiPriority w:val="0"/>
    <w:pPr>
      <w:keepNext/>
      <w:keepLines/>
      <w:widowControl w:val="0"/>
      <w:spacing w:line="576" w:lineRule="auto"/>
      <w:outlineLvl w:val="0"/>
    </w:pPr>
    <w:rPr>
      <w:rFonts w:ascii="Calibri" w:hAnsi="Calibri"/>
      <w:b/>
      <w:bCs/>
      <w:color w:val="000000"/>
      <w:kern w:val="44"/>
      <w:sz w:val="30"/>
      <w:szCs w:val="44"/>
      <w:u w:color="000000"/>
    </w:rPr>
  </w:style>
  <w:style w:type="paragraph" w:styleId="4">
    <w:name w:val="heading 2"/>
    <w:basedOn w:val="1"/>
    <w:next w:val="1"/>
    <w:link w:val="78"/>
    <w:qFormat/>
    <w:uiPriority w:val="0"/>
    <w:pPr>
      <w:keepNext/>
      <w:keepLines/>
      <w:spacing w:before="260" w:after="260" w:line="416" w:lineRule="auto"/>
      <w:outlineLvl w:val="1"/>
    </w:pPr>
    <w:rPr>
      <w:rFonts w:ascii="Helvetica" w:hAnsi="Helvetica" w:eastAsia="黑体"/>
      <w:b/>
      <w:bCs/>
      <w:sz w:val="32"/>
      <w:szCs w:val="32"/>
    </w:rPr>
  </w:style>
  <w:style w:type="paragraph" w:styleId="5">
    <w:name w:val="heading 3"/>
    <w:basedOn w:val="1"/>
    <w:next w:val="1"/>
    <w:link w:val="47"/>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正文 A"/>
    <w:qFormat/>
    <w:uiPriority w:val="0"/>
    <w:pPr>
      <w:widowControl w:val="0"/>
      <w:spacing w:line="360" w:lineRule="auto"/>
      <w:ind w:left="720" w:hanging="720"/>
      <w:jc w:val="both"/>
    </w:pPr>
    <w:rPr>
      <w:rFonts w:ascii="Calibri" w:hAnsi="Calibri" w:eastAsia="Calibri" w:cs="Calibri"/>
      <w:color w:val="000000"/>
      <w:kern w:val="2"/>
      <w:sz w:val="21"/>
      <w:szCs w:val="21"/>
      <w:u w:color="000000"/>
      <w:lang w:val="en-US" w:eastAsia="zh-CN" w:bidi="ar-SA"/>
    </w:rPr>
  </w:style>
  <w:style w:type="paragraph" w:styleId="6">
    <w:name w:val="toc 7"/>
    <w:basedOn w:val="1"/>
    <w:next w:val="1"/>
    <w:unhideWhenUsed/>
    <w:qFormat/>
    <w:uiPriority w:val="39"/>
    <w:pPr>
      <w:ind w:left="1200"/>
      <w:jc w:val="left"/>
    </w:pPr>
    <w:rPr>
      <w:rFonts w:ascii="Calibri" w:hAnsi="Calibri"/>
      <w:sz w:val="20"/>
      <w:szCs w:val="20"/>
    </w:rPr>
  </w:style>
  <w:style w:type="paragraph" w:styleId="7">
    <w:name w:val="caption"/>
    <w:basedOn w:val="1"/>
    <w:next w:val="1"/>
    <w:qFormat/>
    <w:uiPriority w:val="35"/>
    <w:pPr>
      <w:widowControl w:val="0"/>
      <w:spacing w:line="240" w:lineRule="auto"/>
      <w:ind w:left="0" w:firstLine="0"/>
    </w:pPr>
    <w:rPr>
      <w:rFonts w:ascii="Cambria" w:hAnsi="Cambria" w:eastAsia="黑体"/>
      <w:kern w:val="2"/>
      <w:sz w:val="20"/>
      <w:szCs w:val="20"/>
      <w:lang w:eastAsia="zh-CN"/>
    </w:rPr>
  </w:style>
  <w:style w:type="paragraph" w:styleId="8">
    <w:name w:val="annotation text"/>
    <w:basedOn w:val="1"/>
    <w:link w:val="67"/>
    <w:qFormat/>
    <w:uiPriority w:val="99"/>
  </w:style>
  <w:style w:type="paragraph" w:styleId="9">
    <w:name w:val="Body Text"/>
    <w:basedOn w:val="1"/>
    <w:link w:val="72"/>
    <w:qFormat/>
    <w:uiPriority w:val="0"/>
    <w:pPr>
      <w:spacing w:after="120"/>
    </w:pPr>
  </w:style>
  <w:style w:type="paragraph" w:styleId="10">
    <w:name w:val="toc 5"/>
    <w:next w:val="1"/>
    <w:qFormat/>
    <w:uiPriority w:val="39"/>
    <w:pPr>
      <w:adjustRightInd w:val="0"/>
      <w:snapToGrid w:val="0"/>
      <w:ind w:left="200" w:hanging="200" w:hangingChars="200"/>
    </w:pPr>
    <w:rPr>
      <w:rFonts w:ascii="Calibri" w:hAnsi="Calibri" w:eastAsia="宋体" w:cs="Times New Roman"/>
      <w:sz w:val="21"/>
      <w:lang w:val="en-US" w:eastAsia="en-US" w:bidi="ar-SA"/>
    </w:rPr>
  </w:style>
  <w:style w:type="paragraph" w:styleId="11">
    <w:name w:val="toc 3"/>
    <w:next w:val="1"/>
    <w:qFormat/>
    <w:uiPriority w:val="39"/>
    <w:pPr>
      <w:adjustRightInd w:val="0"/>
      <w:snapToGrid w:val="0"/>
      <w:ind w:left="400" w:leftChars="200" w:hanging="200" w:hangingChars="200"/>
    </w:pPr>
    <w:rPr>
      <w:rFonts w:ascii="Times New Roman" w:hAnsi="Times New Roman" w:eastAsia="宋体" w:cs="Times New Roman"/>
      <w:sz w:val="21"/>
      <w:lang w:val="en-US" w:eastAsia="en-US" w:bidi="ar-SA"/>
    </w:rPr>
  </w:style>
  <w:style w:type="paragraph" w:styleId="12">
    <w:name w:val="toc 8"/>
    <w:basedOn w:val="1"/>
    <w:next w:val="1"/>
    <w:unhideWhenUsed/>
    <w:qFormat/>
    <w:uiPriority w:val="39"/>
    <w:pPr>
      <w:ind w:left="1440"/>
      <w:jc w:val="left"/>
    </w:pPr>
    <w:rPr>
      <w:rFonts w:ascii="Calibri" w:hAnsi="Calibri"/>
      <w:sz w:val="20"/>
      <w:szCs w:val="20"/>
    </w:rPr>
  </w:style>
  <w:style w:type="paragraph" w:styleId="13">
    <w:name w:val="Date"/>
    <w:basedOn w:val="1"/>
    <w:next w:val="1"/>
    <w:link w:val="61"/>
    <w:unhideWhenUsed/>
    <w:qFormat/>
    <w:uiPriority w:val="99"/>
    <w:pPr>
      <w:ind w:left="100" w:leftChars="2500"/>
    </w:pPr>
  </w:style>
  <w:style w:type="paragraph" w:styleId="14">
    <w:name w:val="Body Text Indent 2"/>
    <w:link w:val="45"/>
    <w:qFormat/>
    <w:uiPriority w:val="0"/>
    <w:pPr>
      <w:widowControl w:val="0"/>
      <w:spacing w:line="300" w:lineRule="auto"/>
      <w:ind w:firstLine="520"/>
    </w:pPr>
    <w:rPr>
      <w:rFonts w:ascii="Arial Unicode MS" w:hAnsi="Arial Unicode MS" w:eastAsia="Times New Roman" w:cs="Arial Unicode MS"/>
      <w:color w:val="000000"/>
      <w:kern w:val="2"/>
      <w:sz w:val="26"/>
      <w:szCs w:val="26"/>
      <w:u w:color="000000"/>
      <w:lang w:val="en-US" w:eastAsia="zh-CN" w:bidi="ar-SA"/>
    </w:rPr>
  </w:style>
  <w:style w:type="paragraph" w:styleId="15">
    <w:name w:val="Balloon Text"/>
    <w:basedOn w:val="1"/>
    <w:link w:val="52"/>
    <w:qFormat/>
    <w:uiPriority w:val="0"/>
    <w:rPr>
      <w:sz w:val="18"/>
      <w:szCs w:val="18"/>
    </w:rPr>
  </w:style>
  <w:style w:type="paragraph" w:styleId="16">
    <w:name w:val="footer"/>
    <w:link w:val="62"/>
    <w:qFormat/>
    <w:uiPriority w:val="99"/>
    <w:pPr>
      <w:widowControl w:val="0"/>
      <w:tabs>
        <w:tab w:val="center" w:pos="4153"/>
        <w:tab w:val="right" w:pos="8306"/>
      </w:tabs>
      <w:spacing w:line="360" w:lineRule="auto"/>
      <w:ind w:left="720" w:hanging="720"/>
      <w:jc w:val="both"/>
    </w:pPr>
    <w:rPr>
      <w:rFonts w:ascii="Calibri" w:hAnsi="Calibri" w:eastAsia="Calibri" w:cs="Calibri"/>
      <w:color w:val="000000"/>
      <w:sz w:val="18"/>
      <w:szCs w:val="18"/>
      <w:u w:color="000000"/>
      <w:lang w:val="en-US" w:eastAsia="zh-CN" w:bidi="ar-SA"/>
    </w:rPr>
  </w:style>
  <w:style w:type="paragraph" w:styleId="17">
    <w:name w:val="header"/>
    <w:link w:val="79"/>
    <w:qFormat/>
    <w:uiPriority w:val="99"/>
    <w:pPr>
      <w:widowControl w:val="0"/>
      <w:tabs>
        <w:tab w:val="center" w:pos="4153"/>
        <w:tab w:val="right" w:pos="8306"/>
      </w:tabs>
      <w:spacing w:line="360" w:lineRule="auto"/>
      <w:ind w:left="720" w:hanging="720"/>
      <w:jc w:val="center"/>
    </w:pPr>
    <w:rPr>
      <w:rFonts w:ascii="Calibri" w:hAnsi="Calibri" w:eastAsia="Calibri" w:cs="Calibri"/>
      <w:color w:val="000000"/>
      <w:sz w:val="18"/>
      <w:szCs w:val="18"/>
      <w:u w:color="000000"/>
      <w:lang w:val="en-US" w:eastAsia="zh-CN" w:bidi="ar-SA"/>
    </w:rPr>
  </w:style>
  <w:style w:type="paragraph" w:styleId="18">
    <w:name w:val="toc 1"/>
    <w:next w:val="1"/>
    <w:qFormat/>
    <w:uiPriority w:val="39"/>
    <w:pPr>
      <w:widowControl w:val="0"/>
      <w:adjustRightInd w:val="0"/>
      <w:snapToGrid w:val="0"/>
      <w:ind w:left="200" w:hanging="200" w:hangingChars="200"/>
    </w:pPr>
    <w:rPr>
      <w:rFonts w:ascii="Times New Roman" w:hAnsi="Times New Roman" w:eastAsia="宋体" w:cs="Times New Roman"/>
      <w:bCs/>
      <w:caps/>
      <w:sz w:val="21"/>
      <w:szCs w:val="24"/>
      <w:lang w:val="en-US" w:eastAsia="en-US" w:bidi="ar-SA"/>
    </w:rPr>
  </w:style>
  <w:style w:type="paragraph" w:styleId="19">
    <w:name w:val="toc 4"/>
    <w:next w:val="1"/>
    <w:qFormat/>
    <w:uiPriority w:val="39"/>
    <w:pPr>
      <w:adjustRightInd w:val="0"/>
      <w:snapToGrid w:val="0"/>
      <w:ind w:left="500" w:leftChars="300" w:hanging="200" w:hangingChars="200"/>
    </w:pPr>
    <w:rPr>
      <w:rFonts w:ascii="Times New Roman" w:hAnsi="Times New Roman" w:eastAsia="宋体" w:cs="Times New Roman"/>
      <w:sz w:val="21"/>
      <w:lang w:val="en-US" w:eastAsia="en-US" w:bidi="ar-SA"/>
    </w:rPr>
  </w:style>
  <w:style w:type="paragraph" w:styleId="20">
    <w:name w:val="toc 6"/>
    <w:basedOn w:val="1"/>
    <w:next w:val="1"/>
    <w:unhideWhenUsed/>
    <w:qFormat/>
    <w:uiPriority w:val="39"/>
    <w:pPr>
      <w:ind w:left="960"/>
      <w:jc w:val="left"/>
    </w:pPr>
    <w:rPr>
      <w:rFonts w:ascii="Calibri" w:hAnsi="Calibri"/>
      <w:sz w:val="20"/>
      <w:szCs w:val="20"/>
    </w:rPr>
  </w:style>
  <w:style w:type="paragraph" w:styleId="21">
    <w:name w:val="toc 2"/>
    <w:next w:val="1"/>
    <w:qFormat/>
    <w:uiPriority w:val="39"/>
    <w:pPr>
      <w:adjustRightInd w:val="0"/>
      <w:snapToGrid w:val="0"/>
      <w:ind w:left="300" w:leftChars="100" w:hanging="200" w:hangingChars="200"/>
    </w:pPr>
    <w:rPr>
      <w:rFonts w:ascii="Times New Roman" w:hAnsi="Times New Roman" w:eastAsia="宋体" w:cs="Times New Roman"/>
      <w:bCs/>
      <w:sz w:val="21"/>
      <w:lang w:val="en-US" w:eastAsia="en-US" w:bidi="ar-SA"/>
    </w:rPr>
  </w:style>
  <w:style w:type="paragraph" w:styleId="22">
    <w:name w:val="toc 9"/>
    <w:basedOn w:val="1"/>
    <w:next w:val="1"/>
    <w:qFormat/>
    <w:uiPriority w:val="39"/>
    <w:pPr>
      <w:ind w:left="1680"/>
      <w:jc w:val="left"/>
    </w:pPr>
    <w:rPr>
      <w:rFonts w:ascii="Calibri" w:hAnsi="Calibri"/>
      <w:sz w:val="20"/>
      <w:szCs w:val="20"/>
    </w:r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lang w:eastAsia="zh-CN"/>
    </w:rPr>
  </w:style>
  <w:style w:type="paragraph" w:styleId="24">
    <w:name w:val="Normal (Web)"/>
    <w:basedOn w:val="1"/>
    <w:qFormat/>
    <w:uiPriority w:val="99"/>
    <w:pPr>
      <w:spacing w:before="100" w:beforeAutospacing="1" w:after="100" w:afterAutospacing="1" w:line="384" w:lineRule="auto"/>
      <w:ind w:left="0" w:firstLine="0"/>
      <w:jc w:val="left"/>
    </w:pPr>
    <w:rPr>
      <w:rFonts w:ascii="宋体" w:hAnsi="宋体" w:cs="宋体"/>
      <w:color w:val="000000"/>
      <w:sz w:val="21"/>
      <w:szCs w:val="21"/>
      <w:lang w:eastAsia="zh-CN"/>
    </w:rPr>
  </w:style>
  <w:style w:type="paragraph" w:styleId="25">
    <w:name w:val="Title"/>
    <w:next w:val="1"/>
    <w:link w:val="65"/>
    <w:qFormat/>
    <w:uiPriority w:val="0"/>
    <w:pPr>
      <w:keepNext/>
      <w:spacing w:before="240" w:after="120" w:line="360" w:lineRule="auto"/>
      <w:ind w:left="360" w:hanging="360"/>
      <w:jc w:val="both"/>
      <w:outlineLvl w:val="1"/>
    </w:pPr>
    <w:rPr>
      <w:rFonts w:ascii="Times New Roman" w:hAnsi="Times New Roman" w:eastAsia="Times New Roman" w:cs="Times New Roman"/>
      <w:b/>
      <w:bCs/>
      <w:color w:val="000000"/>
      <w:kern w:val="44"/>
      <w:u w:color="000000"/>
      <w:lang w:val="en-US" w:eastAsia="zh-CN" w:bidi="ar-SA"/>
    </w:rPr>
  </w:style>
  <w:style w:type="paragraph" w:styleId="26">
    <w:name w:val="annotation subject"/>
    <w:basedOn w:val="8"/>
    <w:next w:val="8"/>
    <w:link w:val="74"/>
    <w:unhideWhenUsed/>
    <w:qFormat/>
    <w:uiPriority w:val="99"/>
    <w:rPr>
      <w:b/>
      <w:bCs/>
    </w:rPr>
  </w:style>
  <w:style w:type="table" w:styleId="28">
    <w:name w:val="Table Grid"/>
    <w:basedOn w:val="2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0">
    <w:name w:val="Strong"/>
    <w:qFormat/>
    <w:uiPriority w:val="0"/>
    <w:rPr>
      <w:b/>
    </w:rPr>
  </w:style>
  <w:style w:type="character" w:styleId="31">
    <w:name w:val="FollowedHyperlink"/>
    <w:qFormat/>
    <w:uiPriority w:val="0"/>
    <w:rPr>
      <w:color w:val="338DE6"/>
      <w:u w:val="none"/>
    </w:rPr>
  </w:style>
  <w:style w:type="character" w:styleId="32">
    <w:name w:val="Emphasis"/>
    <w:basedOn w:val="29"/>
    <w:qFormat/>
    <w:uiPriority w:val="0"/>
  </w:style>
  <w:style w:type="character" w:styleId="33">
    <w:name w:val="Hyperlink"/>
    <w:qFormat/>
    <w:uiPriority w:val="99"/>
    <w:rPr>
      <w:u w:val="single"/>
    </w:rPr>
  </w:style>
  <w:style w:type="character" w:styleId="34">
    <w:name w:val="annotation reference"/>
    <w:unhideWhenUsed/>
    <w:qFormat/>
    <w:uiPriority w:val="99"/>
    <w:rPr>
      <w:sz w:val="21"/>
      <w:szCs w:val="21"/>
    </w:rPr>
  </w:style>
  <w:style w:type="character" w:customStyle="1" w:styleId="35">
    <w:name w:val="批注主题 Char"/>
    <w:link w:val="36"/>
    <w:qFormat/>
    <w:uiPriority w:val="0"/>
    <w:rPr>
      <w:rFonts w:eastAsia="宋体"/>
      <w:b/>
      <w:bCs/>
      <w:sz w:val="24"/>
      <w:szCs w:val="24"/>
      <w:lang w:eastAsia="en-US"/>
    </w:rPr>
  </w:style>
  <w:style w:type="paragraph" w:customStyle="1" w:styleId="36">
    <w:name w:val="批注主题1"/>
    <w:basedOn w:val="8"/>
    <w:next w:val="8"/>
    <w:link w:val="35"/>
    <w:qFormat/>
    <w:uiPriority w:val="0"/>
    <w:rPr>
      <w:b/>
      <w:bCs/>
    </w:rPr>
  </w:style>
  <w:style w:type="character" w:customStyle="1" w:styleId="37">
    <w:name w:val="ypdrugname"/>
    <w:qFormat/>
    <w:uiPriority w:val="0"/>
  </w:style>
  <w:style w:type="character" w:customStyle="1" w:styleId="38">
    <w:name w:val="fontborder"/>
    <w:qFormat/>
    <w:uiPriority w:val="0"/>
    <w:rPr>
      <w:bdr w:val="single" w:color="000000" w:sz="6" w:space="0"/>
    </w:rPr>
  </w:style>
  <w:style w:type="character" w:customStyle="1" w:styleId="39">
    <w:name w:val="HTML 预设格式 Char"/>
    <w:link w:val="40"/>
    <w:qFormat/>
    <w:uiPriority w:val="0"/>
    <w:rPr>
      <w:rFonts w:ascii="Arial" w:hAnsi="Arial" w:eastAsia="宋体" w:cs="Arial"/>
      <w:sz w:val="24"/>
      <w:szCs w:val="24"/>
    </w:rPr>
  </w:style>
  <w:style w:type="paragraph" w:customStyle="1" w:styleId="40">
    <w:name w:val="HTML 预设格式1"/>
    <w:basedOn w:val="1"/>
    <w:link w:val="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rPr>
  </w:style>
  <w:style w:type="character" w:customStyle="1" w:styleId="41">
    <w:name w:val="自定义标题4 Char"/>
    <w:link w:val="42"/>
    <w:qFormat/>
    <w:uiPriority w:val="0"/>
    <w:rPr>
      <w:b/>
      <w:sz w:val="24"/>
      <w:szCs w:val="24"/>
    </w:rPr>
  </w:style>
  <w:style w:type="paragraph" w:customStyle="1" w:styleId="42">
    <w:name w:val="自定义标题4"/>
    <w:basedOn w:val="1"/>
    <w:link w:val="41"/>
    <w:qFormat/>
    <w:uiPriority w:val="0"/>
    <w:pPr>
      <w:widowControl w:val="0"/>
      <w:autoSpaceDE w:val="0"/>
      <w:autoSpaceDN w:val="0"/>
      <w:adjustRightInd w:val="0"/>
      <w:snapToGrid w:val="0"/>
      <w:ind w:left="0" w:firstLine="0"/>
      <w:outlineLvl w:val="3"/>
    </w:pPr>
    <w:rPr>
      <w:b/>
    </w:rPr>
  </w:style>
  <w:style w:type="character" w:customStyle="1" w:styleId="43">
    <w:name w:val="页眉 字符"/>
    <w:qFormat/>
    <w:uiPriority w:val="99"/>
    <w:rPr>
      <w:rFonts w:ascii="Calibri" w:hAnsi="Calibri" w:eastAsia="Calibri" w:cs="Calibri"/>
      <w:color w:val="000000"/>
      <w:sz w:val="18"/>
      <w:szCs w:val="18"/>
      <w:u w:color="000000"/>
      <w:lang w:val="en-US" w:eastAsia="zh-CN" w:bidi="ar-SA"/>
    </w:rPr>
  </w:style>
  <w:style w:type="character" w:customStyle="1" w:styleId="44">
    <w:name w:val="apple-converted-space"/>
    <w:basedOn w:val="29"/>
    <w:qFormat/>
    <w:uiPriority w:val="0"/>
  </w:style>
  <w:style w:type="character" w:customStyle="1" w:styleId="45">
    <w:name w:val="正文文本缩进 2 字符"/>
    <w:link w:val="14"/>
    <w:qFormat/>
    <w:uiPriority w:val="0"/>
    <w:rPr>
      <w:rFonts w:ascii="Arial Unicode MS" w:hAnsi="Arial Unicode MS" w:eastAsia="Times New Roman" w:cs="Arial Unicode MS"/>
      <w:color w:val="000000"/>
      <w:kern w:val="2"/>
      <w:sz w:val="26"/>
      <w:szCs w:val="26"/>
      <w:u w:color="000000"/>
      <w:lang w:val="en-US" w:eastAsia="zh-CN" w:bidi="ar-SA"/>
    </w:rPr>
  </w:style>
  <w:style w:type="character" w:customStyle="1" w:styleId="46">
    <w:name w:val="HTML 样本1"/>
    <w:qFormat/>
    <w:uiPriority w:val="0"/>
    <w:rPr>
      <w:rFonts w:hint="default" w:ascii="monospace" w:hAnsi="monospace" w:eastAsia="monospace" w:cs="monospace"/>
      <w:sz w:val="21"/>
      <w:szCs w:val="21"/>
    </w:rPr>
  </w:style>
  <w:style w:type="character" w:customStyle="1" w:styleId="47">
    <w:name w:val="标题 3 字符"/>
    <w:link w:val="5"/>
    <w:qFormat/>
    <w:uiPriority w:val="0"/>
    <w:rPr>
      <w:b/>
      <w:bCs/>
      <w:sz w:val="32"/>
      <w:szCs w:val="32"/>
      <w:lang w:eastAsia="en-US"/>
    </w:rPr>
  </w:style>
  <w:style w:type="character" w:customStyle="1" w:styleId="48">
    <w:name w:val="！标题3 Char"/>
    <w:link w:val="49"/>
    <w:qFormat/>
    <w:uiPriority w:val="0"/>
    <w:rPr>
      <w:rFonts w:eastAsia="Times New Roman"/>
      <w:b/>
      <w:bCs/>
      <w:color w:val="000000"/>
      <w:kern w:val="2"/>
      <w:sz w:val="24"/>
      <w:szCs w:val="24"/>
      <w:u w:color="000000"/>
      <w:lang w:val="en-US" w:eastAsia="zh-CN" w:bidi="ar-SA"/>
    </w:rPr>
  </w:style>
  <w:style w:type="paragraph" w:customStyle="1" w:styleId="49">
    <w:name w:val="！标题3"/>
    <w:next w:val="50"/>
    <w:link w:val="48"/>
    <w:qFormat/>
    <w:uiPriority w:val="0"/>
    <w:pPr>
      <w:keepNext/>
      <w:keepLines/>
      <w:widowControl w:val="0"/>
      <w:spacing w:line="360" w:lineRule="auto"/>
      <w:ind w:left="720" w:hanging="720"/>
      <w:jc w:val="both"/>
      <w:outlineLvl w:val="4"/>
    </w:pPr>
    <w:rPr>
      <w:rFonts w:ascii="Times New Roman" w:hAnsi="Times New Roman" w:eastAsia="Times New Roman" w:cs="Times New Roman"/>
      <w:b/>
      <w:bCs/>
      <w:color w:val="000000"/>
      <w:kern w:val="2"/>
      <w:sz w:val="24"/>
      <w:szCs w:val="24"/>
      <w:u w:color="000000"/>
      <w:lang w:val="en-US" w:eastAsia="zh-CN" w:bidi="ar-SA"/>
    </w:rPr>
  </w:style>
  <w:style w:type="paragraph" w:customStyle="1" w:styleId="50">
    <w:name w:val="！正文"/>
    <w:qFormat/>
    <w:uiPriority w:val="0"/>
    <w:pPr>
      <w:widowControl w:val="0"/>
      <w:spacing w:line="360" w:lineRule="auto"/>
      <w:ind w:left="720" w:firstLine="200"/>
      <w:jc w:val="both"/>
    </w:pPr>
    <w:rPr>
      <w:rFonts w:ascii="Times New Roman" w:hAnsi="Times New Roman" w:eastAsia="Times New Roman" w:cs="Times New Roman"/>
      <w:color w:val="000000"/>
      <w:kern w:val="2"/>
      <w:sz w:val="24"/>
      <w:szCs w:val="24"/>
      <w:u w:color="000000"/>
      <w:lang w:val="en-US" w:eastAsia="zh-CN" w:bidi="ar-SA"/>
    </w:rPr>
  </w:style>
  <w:style w:type="character" w:customStyle="1" w:styleId="51">
    <w:name w:val="HTML 变量1"/>
    <w:basedOn w:val="29"/>
    <w:qFormat/>
    <w:uiPriority w:val="0"/>
  </w:style>
  <w:style w:type="character" w:customStyle="1" w:styleId="52">
    <w:name w:val="批注框文本 字符"/>
    <w:link w:val="15"/>
    <w:qFormat/>
    <w:uiPriority w:val="0"/>
    <w:rPr>
      <w:sz w:val="18"/>
      <w:szCs w:val="18"/>
      <w:lang w:eastAsia="en-US"/>
    </w:rPr>
  </w:style>
  <w:style w:type="character" w:customStyle="1" w:styleId="53">
    <w:name w:val="HTML 引文1"/>
    <w:basedOn w:val="29"/>
    <w:qFormat/>
    <w:uiPriority w:val="0"/>
  </w:style>
  <w:style w:type="character" w:customStyle="1" w:styleId="54">
    <w:name w:val="标题 1 字符"/>
    <w:link w:val="2"/>
    <w:qFormat/>
    <w:uiPriority w:val="0"/>
    <w:rPr>
      <w:rFonts w:ascii="Calibri" w:hAnsi="Calibri" w:cs="Calibri"/>
      <w:b/>
      <w:bCs/>
      <w:color w:val="000000"/>
      <w:kern w:val="44"/>
      <w:sz w:val="30"/>
      <w:szCs w:val="44"/>
      <w:u w:color="000000"/>
    </w:rPr>
  </w:style>
  <w:style w:type="character" w:customStyle="1" w:styleId="55">
    <w:name w:val="日期 Char"/>
    <w:link w:val="56"/>
    <w:qFormat/>
    <w:uiPriority w:val="0"/>
    <w:rPr>
      <w:rFonts w:eastAsia="Times New Roman"/>
      <w:color w:val="000000"/>
      <w:sz w:val="24"/>
      <w:szCs w:val="24"/>
      <w:u w:color="000000"/>
      <w:lang w:val="en-US" w:eastAsia="zh-CN" w:bidi="ar-SA"/>
    </w:rPr>
  </w:style>
  <w:style w:type="paragraph" w:customStyle="1" w:styleId="56">
    <w:name w:val="日期1"/>
    <w:next w:val="1"/>
    <w:link w:val="55"/>
    <w:qFormat/>
    <w:uiPriority w:val="0"/>
    <w:pPr>
      <w:widowControl w:val="0"/>
      <w:spacing w:line="360" w:lineRule="auto"/>
      <w:ind w:left="100" w:hanging="720"/>
      <w:jc w:val="both"/>
    </w:pPr>
    <w:rPr>
      <w:rFonts w:ascii="Times New Roman" w:hAnsi="Times New Roman" w:eastAsia="Times New Roman" w:cs="Times New Roman"/>
      <w:color w:val="000000"/>
      <w:sz w:val="24"/>
      <w:szCs w:val="24"/>
      <w:u w:color="000000"/>
      <w:lang w:val="en-US" w:eastAsia="zh-CN" w:bidi="ar-SA"/>
    </w:rPr>
  </w:style>
  <w:style w:type="character" w:customStyle="1" w:styleId="57">
    <w:name w:val="正文文本 2 Char"/>
    <w:link w:val="58"/>
    <w:qFormat/>
    <w:uiPriority w:val="0"/>
    <w:rPr>
      <w:sz w:val="24"/>
      <w:szCs w:val="24"/>
      <w:lang w:eastAsia="en-US"/>
    </w:rPr>
  </w:style>
  <w:style w:type="paragraph" w:customStyle="1" w:styleId="58">
    <w:name w:val="正文文本 21"/>
    <w:basedOn w:val="1"/>
    <w:link w:val="57"/>
    <w:qFormat/>
    <w:uiPriority w:val="0"/>
    <w:pPr>
      <w:spacing w:after="120" w:line="480" w:lineRule="auto"/>
    </w:pPr>
  </w:style>
  <w:style w:type="character" w:customStyle="1" w:styleId="59">
    <w:name w:val="HTML 预设格式 Char1"/>
    <w:semiHidden/>
    <w:qFormat/>
    <w:uiPriority w:val="99"/>
    <w:rPr>
      <w:rFonts w:ascii="Courier New" w:hAnsi="Courier New" w:cs="Courier New"/>
      <w:lang w:eastAsia="en-US"/>
    </w:rPr>
  </w:style>
  <w:style w:type="character" w:customStyle="1" w:styleId="60">
    <w:name w:val="未处理的提及1"/>
    <w:unhideWhenUsed/>
    <w:qFormat/>
    <w:uiPriority w:val="99"/>
    <w:rPr>
      <w:color w:val="808080"/>
      <w:shd w:val="clear" w:color="auto" w:fill="E6E6E6"/>
    </w:rPr>
  </w:style>
  <w:style w:type="character" w:customStyle="1" w:styleId="61">
    <w:name w:val="日期 字符"/>
    <w:link w:val="13"/>
    <w:semiHidden/>
    <w:qFormat/>
    <w:uiPriority w:val="99"/>
    <w:rPr>
      <w:sz w:val="24"/>
      <w:szCs w:val="24"/>
      <w:lang w:eastAsia="en-US"/>
    </w:rPr>
  </w:style>
  <w:style w:type="character" w:customStyle="1" w:styleId="62">
    <w:name w:val="页脚 字符"/>
    <w:link w:val="16"/>
    <w:qFormat/>
    <w:uiPriority w:val="99"/>
    <w:rPr>
      <w:rFonts w:ascii="Calibri" w:hAnsi="Calibri" w:eastAsia="Calibri" w:cs="Calibri"/>
      <w:color w:val="000000"/>
      <w:sz w:val="18"/>
      <w:szCs w:val="18"/>
      <w:u w:color="000000"/>
      <w:lang w:val="en-US" w:eastAsia="zh-CN" w:bidi="ar-SA"/>
    </w:rPr>
  </w:style>
  <w:style w:type="character" w:customStyle="1" w:styleId="63">
    <w:name w:val="jrnl"/>
    <w:basedOn w:val="29"/>
    <w:qFormat/>
    <w:uiPriority w:val="0"/>
  </w:style>
  <w:style w:type="character" w:customStyle="1" w:styleId="64">
    <w:name w:val="HTML 定义1"/>
    <w:basedOn w:val="29"/>
    <w:qFormat/>
    <w:uiPriority w:val="0"/>
  </w:style>
  <w:style w:type="character" w:customStyle="1" w:styleId="65">
    <w:name w:val="标题 字符"/>
    <w:link w:val="25"/>
    <w:qFormat/>
    <w:uiPriority w:val="0"/>
    <w:rPr>
      <w:rFonts w:eastAsia="Times New Roman"/>
      <w:b/>
      <w:bCs/>
      <w:color w:val="000000"/>
      <w:kern w:val="44"/>
      <w:u w:color="000000"/>
      <w:lang w:val="en-US" w:eastAsia="zh-CN" w:bidi="ar-SA"/>
    </w:rPr>
  </w:style>
  <w:style w:type="character" w:customStyle="1" w:styleId="66">
    <w:name w:val="HTML 键盘1"/>
    <w:qFormat/>
    <w:uiPriority w:val="0"/>
    <w:rPr>
      <w:rFonts w:ascii="monospace" w:hAnsi="monospace" w:eastAsia="monospace" w:cs="monospace"/>
      <w:sz w:val="21"/>
      <w:szCs w:val="21"/>
    </w:rPr>
  </w:style>
  <w:style w:type="character" w:customStyle="1" w:styleId="67">
    <w:name w:val="批注文字 字符"/>
    <w:link w:val="8"/>
    <w:qFormat/>
    <w:uiPriority w:val="99"/>
    <w:rPr>
      <w:sz w:val="24"/>
      <w:szCs w:val="24"/>
      <w:lang w:eastAsia="en-US"/>
    </w:rPr>
  </w:style>
  <w:style w:type="character" w:customStyle="1" w:styleId="68">
    <w:name w:val="标题3 Char"/>
    <w:link w:val="69"/>
    <w:qFormat/>
    <w:uiPriority w:val="0"/>
    <w:rPr>
      <w:b/>
      <w:bCs/>
      <w:kern w:val="2"/>
      <w:sz w:val="24"/>
      <w:szCs w:val="24"/>
      <w:u w:color="000000"/>
      <w:lang w:val="zh-TW" w:eastAsia="zh-TW"/>
    </w:rPr>
  </w:style>
  <w:style w:type="paragraph" w:customStyle="1" w:styleId="69">
    <w:name w:val="标题3"/>
    <w:basedOn w:val="49"/>
    <w:link w:val="68"/>
    <w:qFormat/>
    <w:uiPriority w:val="0"/>
    <w:pPr>
      <w:keepNext w:val="0"/>
      <w:keepLines w:val="0"/>
      <w:numPr>
        <w:ilvl w:val="2"/>
        <w:numId w:val="1"/>
      </w:numPr>
      <w:adjustRightInd w:val="0"/>
      <w:snapToGrid w:val="0"/>
      <w:outlineLvl w:val="2"/>
    </w:pPr>
    <w:rPr>
      <w:rFonts w:eastAsia="宋体"/>
      <w:color w:val="auto"/>
      <w:lang w:val="zh-TW" w:eastAsia="zh-TW"/>
    </w:rPr>
  </w:style>
  <w:style w:type="character" w:customStyle="1" w:styleId="70">
    <w:name w:val="批注引用1"/>
    <w:qFormat/>
    <w:uiPriority w:val="0"/>
    <w:rPr>
      <w:sz w:val="21"/>
      <w:szCs w:val="21"/>
    </w:rPr>
  </w:style>
  <w:style w:type="character" w:customStyle="1" w:styleId="71">
    <w:name w:val="long_text"/>
    <w:qFormat/>
    <w:uiPriority w:val="0"/>
  </w:style>
  <w:style w:type="character" w:customStyle="1" w:styleId="72">
    <w:name w:val="正文文本 字符"/>
    <w:link w:val="9"/>
    <w:qFormat/>
    <w:uiPriority w:val="0"/>
    <w:rPr>
      <w:sz w:val="24"/>
      <w:szCs w:val="24"/>
      <w:lang w:eastAsia="en-US"/>
    </w:rPr>
  </w:style>
  <w:style w:type="character" w:customStyle="1" w:styleId="73">
    <w:name w:val="fontstrikethrough"/>
    <w:qFormat/>
    <w:uiPriority w:val="0"/>
    <w:rPr>
      <w:strike/>
    </w:rPr>
  </w:style>
  <w:style w:type="character" w:customStyle="1" w:styleId="74">
    <w:name w:val="批注主题 字符"/>
    <w:link w:val="26"/>
    <w:semiHidden/>
    <w:qFormat/>
    <w:uiPriority w:val="99"/>
    <w:rPr>
      <w:b/>
      <w:bCs/>
      <w:sz w:val="24"/>
      <w:szCs w:val="24"/>
      <w:lang w:eastAsia="en-US"/>
    </w:rPr>
  </w:style>
  <w:style w:type="character" w:customStyle="1" w:styleId="75">
    <w:name w:val="HTML 代码1"/>
    <w:qFormat/>
    <w:uiPriority w:val="0"/>
    <w:rPr>
      <w:rFonts w:hint="default" w:ascii="monospace" w:hAnsi="monospace" w:eastAsia="monospace" w:cs="monospace"/>
      <w:sz w:val="21"/>
      <w:szCs w:val="21"/>
    </w:rPr>
  </w:style>
  <w:style w:type="character" w:customStyle="1" w:styleId="76">
    <w:name w:val="自定义标题3 Char"/>
    <w:basedOn w:val="48"/>
    <w:link w:val="77"/>
    <w:qFormat/>
    <w:uiPriority w:val="0"/>
    <w:rPr>
      <w:rFonts w:eastAsia="Times New Roman"/>
      <w:color w:val="000000"/>
      <w:kern w:val="2"/>
      <w:sz w:val="24"/>
      <w:szCs w:val="24"/>
      <w:u w:color="000000"/>
      <w:lang w:val="en-US" w:eastAsia="zh-CN" w:bidi="ar-SA"/>
    </w:rPr>
  </w:style>
  <w:style w:type="paragraph" w:customStyle="1" w:styleId="77">
    <w:name w:val="自定义标题3"/>
    <w:basedOn w:val="49"/>
    <w:link w:val="76"/>
    <w:qFormat/>
    <w:uiPriority w:val="0"/>
    <w:pPr>
      <w:keepNext w:val="0"/>
      <w:keepLines w:val="0"/>
      <w:adjustRightInd w:val="0"/>
      <w:snapToGrid w:val="0"/>
      <w:ind w:left="0" w:firstLine="0"/>
      <w:outlineLvl w:val="2"/>
    </w:pPr>
    <w:rPr>
      <w:rFonts w:eastAsia="宋体"/>
    </w:rPr>
  </w:style>
  <w:style w:type="character" w:customStyle="1" w:styleId="78">
    <w:name w:val="标题 2 字符"/>
    <w:link w:val="4"/>
    <w:qFormat/>
    <w:uiPriority w:val="0"/>
    <w:rPr>
      <w:rFonts w:ascii="Helvetica" w:hAnsi="Helvetica" w:eastAsia="黑体" w:cs="Helvetica"/>
      <w:b/>
      <w:bCs/>
      <w:sz w:val="32"/>
      <w:szCs w:val="32"/>
      <w:lang w:eastAsia="en-US"/>
    </w:rPr>
  </w:style>
  <w:style w:type="character" w:customStyle="1" w:styleId="79">
    <w:name w:val="页眉 字符1"/>
    <w:link w:val="17"/>
    <w:qFormat/>
    <w:uiPriority w:val="99"/>
    <w:rPr>
      <w:rFonts w:ascii="Calibri" w:hAnsi="Calibri" w:eastAsia="Calibri" w:cs="Calibri"/>
      <w:color w:val="000000"/>
      <w:sz w:val="18"/>
      <w:szCs w:val="18"/>
      <w:u w:color="000000"/>
      <w:lang w:val="en-US" w:eastAsia="zh-CN" w:bidi="ar-SA"/>
    </w:rPr>
  </w:style>
  <w:style w:type="paragraph" w:customStyle="1" w:styleId="80">
    <w:name w:val="CM10"/>
    <w:basedOn w:val="1"/>
    <w:next w:val="1"/>
    <w:qFormat/>
    <w:uiPriority w:val="0"/>
    <w:pPr>
      <w:widowControl w:val="0"/>
      <w:autoSpaceDE w:val="0"/>
      <w:autoSpaceDN w:val="0"/>
      <w:adjustRightInd w:val="0"/>
      <w:spacing w:line="276" w:lineRule="atLeast"/>
    </w:pPr>
    <w:rPr>
      <w:lang w:eastAsia="zh-CN"/>
    </w:rPr>
  </w:style>
  <w:style w:type="paragraph" w:customStyle="1" w:styleId="81">
    <w:name w:val="列出段落4"/>
    <w:basedOn w:val="1"/>
    <w:qFormat/>
    <w:uiPriority w:val="0"/>
    <w:pPr>
      <w:ind w:firstLine="420" w:firstLineChars="200"/>
    </w:pPr>
  </w:style>
  <w:style w:type="paragraph" w:customStyle="1" w:styleId="82">
    <w:name w:val="正文1"/>
    <w:qFormat/>
    <w:uiPriority w:val="0"/>
    <w:pPr>
      <w:spacing w:line="360" w:lineRule="auto"/>
      <w:ind w:left="720" w:hanging="720"/>
      <w:jc w:val="both"/>
    </w:pPr>
    <w:rPr>
      <w:rFonts w:ascii="Times New Roman" w:hAnsi="Times New Roman" w:eastAsia="宋体" w:cs="Times New Roman"/>
      <w:kern w:val="2"/>
      <w:sz w:val="21"/>
      <w:szCs w:val="21"/>
      <w:lang w:val="en-US" w:eastAsia="zh-CN" w:bidi="ar-SA"/>
    </w:rPr>
  </w:style>
  <w:style w:type="paragraph" w:customStyle="1" w:styleId="83">
    <w:name w:val="desc2"/>
    <w:basedOn w:val="1"/>
    <w:qFormat/>
    <w:uiPriority w:val="0"/>
    <w:pPr>
      <w:spacing w:line="240" w:lineRule="auto"/>
      <w:ind w:left="0" w:firstLine="0"/>
      <w:jc w:val="left"/>
    </w:pPr>
    <w:rPr>
      <w:rFonts w:ascii="宋体" w:hAnsi="宋体" w:cs="宋体"/>
      <w:sz w:val="26"/>
      <w:szCs w:val="26"/>
      <w:lang w:eastAsia="zh-CN"/>
    </w:rPr>
  </w:style>
  <w:style w:type="paragraph" w:customStyle="1" w:styleId="84">
    <w:name w:val="列出段落11"/>
    <w:qFormat/>
    <w:uiPriority w:val="0"/>
    <w:pPr>
      <w:widowControl w:val="0"/>
      <w:spacing w:line="360" w:lineRule="auto"/>
      <w:ind w:left="720" w:firstLine="420"/>
      <w:jc w:val="both"/>
    </w:pPr>
    <w:rPr>
      <w:rFonts w:ascii="Times New Roman" w:hAnsi="Arial Unicode MS" w:eastAsia="Arial Unicode MS" w:cs="Arial Unicode MS"/>
      <w:color w:val="000000"/>
      <w:kern w:val="2"/>
      <w:sz w:val="24"/>
      <w:szCs w:val="24"/>
      <w:u w:color="000000"/>
      <w:lang w:val="en-US" w:eastAsia="zh-CN" w:bidi="ar-SA"/>
    </w:rPr>
  </w:style>
  <w:style w:type="paragraph" w:customStyle="1" w:styleId="85">
    <w:name w:val="列出段落1"/>
    <w:basedOn w:val="1"/>
    <w:qFormat/>
    <w:uiPriority w:val="0"/>
    <w:pPr>
      <w:ind w:firstLine="420" w:firstLineChars="200"/>
    </w:pPr>
  </w:style>
  <w:style w:type="paragraph" w:customStyle="1" w:styleId="86">
    <w:name w:val="paragraph"/>
    <w:qFormat/>
    <w:uiPriority w:val="0"/>
    <w:pPr>
      <w:spacing w:before="120" w:line="360" w:lineRule="auto"/>
      <w:ind w:left="720" w:hanging="720"/>
      <w:jc w:val="both"/>
    </w:pPr>
    <w:rPr>
      <w:rFonts w:hint="eastAsia" w:ascii="Arial Unicode MS" w:hAnsi="Arial Unicode MS" w:eastAsia="Times New Roman" w:cs="Arial Unicode MS"/>
      <w:color w:val="000000"/>
      <w:sz w:val="22"/>
      <w:szCs w:val="22"/>
      <w:u w:color="000000"/>
      <w:lang w:val="en-US" w:eastAsia="zh-CN" w:bidi="ar-SA"/>
    </w:rPr>
  </w:style>
  <w:style w:type="paragraph" w:customStyle="1" w:styleId="87">
    <w:name w:val="列出段落12"/>
    <w:qFormat/>
    <w:uiPriority w:val="0"/>
    <w:pPr>
      <w:widowControl w:val="0"/>
      <w:spacing w:line="360" w:lineRule="auto"/>
      <w:ind w:left="720" w:firstLine="420"/>
      <w:jc w:val="both"/>
    </w:pPr>
    <w:rPr>
      <w:rFonts w:ascii="Calibri" w:hAnsi="Calibri" w:eastAsia="Calibri" w:cs="Calibri"/>
      <w:color w:val="000000"/>
      <w:kern w:val="2"/>
      <w:sz w:val="21"/>
      <w:szCs w:val="21"/>
      <w:u w:color="000000"/>
      <w:lang w:val="en-US" w:eastAsia="zh-CN" w:bidi="ar-SA"/>
    </w:rPr>
  </w:style>
  <w:style w:type="paragraph" w:customStyle="1" w:styleId="88">
    <w:name w:val="修订1"/>
    <w:unhideWhenUsed/>
    <w:qFormat/>
    <w:uiPriority w:val="99"/>
    <w:pPr>
      <w:spacing w:line="360" w:lineRule="auto"/>
      <w:ind w:left="720" w:hanging="720"/>
      <w:jc w:val="both"/>
    </w:pPr>
    <w:rPr>
      <w:rFonts w:ascii="Times New Roman" w:hAnsi="Times New Roman" w:eastAsia="宋体" w:cs="Times New Roman"/>
      <w:sz w:val="24"/>
      <w:szCs w:val="24"/>
      <w:lang w:val="en-US" w:eastAsia="en-US" w:bidi="ar-SA"/>
    </w:rPr>
  </w:style>
  <w:style w:type="paragraph" w:customStyle="1" w:styleId="89">
    <w:name w:val="列出段落5"/>
    <w:basedOn w:val="1"/>
    <w:unhideWhenUsed/>
    <w:qFormat/>
    <w:uiPriority w:val="34"/>
    <w:pPr>
      <w:ind w:firstLine="420" w:firstLineChars="200"/>
    </w:pPr>
  </w:style>
  <w:style w:type="paragraph" w:customStyle="1" w:styleId="90">
    <w:name w:val="列出段落3"/>
    <w:basedOn w:val="1"/>
    <w:qFormat/>
    <w:uiPriority w:val="0"/>
    <w:pPr>
      <w:ind w:firstLine="420" w:firstLineChars="200"/>
    </w:pPr>
  </w:style>
  <w:style w:type="paragraph" w:customStyle="1" w:styleId="91">
    <w:name w:val="首行缩进"/>
    <w:basedOn w:val="1"/>
    <w:qFormat/>
    <w:uiPriority w:val="0"/>
    <w:pPr>
      <w:ind w:firstLine="400" w:firstLineChars="200"/>
    </w:pPr>
    <w:rPr>
      <w:color w:val="000000"/>
      <w:sz w:val="20"/>
    </w:rPr>
  </w:style>
  <w:style w:type="paragraph" w:customStyle="1" w:styleId="9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93">
    <w:name w:val="MoRP List 1-20"/>
    <w:qFormat/>
    <w:uiPriority w:val="0"/>
    <w:pPr>
      <w:tabs>
        <w:tab w:val="left" w:pos="567"/>
        <w:tab w:val="left" w:pos="1985"/>
      </w:tabs>
      <w:spacing w:line="288" w:lineRule="auto"/>
      <w:ind w:left="567" w:hanging="567"/>
      <w:jc w:val="both"/>
    </w:pPr>
    <w:rPr>
      <w:rFonts w:hint="eastAsia" w:ascii="Arial Unicode MS" w:hAnsi="Arial Unicode MS" w:eastAsia="Arial" w:cs="Arial Unicode MS"/>
      <w:color w:val="000000"/>
      <w:sz w:val="22"/>
      <w:szCs w:val="22"/>
      <w:u w:color="000000"/>
      <w:lang w:val="en-US" w:eastAsia="zh-CN" w:bidi="ar-SA"/>
    </w:rPr>
  </w:style>
  <w:style w:type="paragraph" w:customStyle="1" w:styleId="94">
    <w:name w:val="title1"/>
    <w:basedOn w:val="1"/>
    <w:qFormat/>
    <w:uiPriority w:val="0"/>
    <w:pPr>
      <w:spacing w:line="240" w:lineRule="auto"/>
      <w:ind w:left="0" w:firstLine="0"/>
      <w:jc w:val="left"/>
    </w:pPr>
    <w:rPr>
      <w:rFonts w:ascii="宋体" w:hAnsi="宋体" w:cs="宋体"/>
      <w:sz w:val="27"/>
      <w:szCs w:val="27"/>
      <w:lang w:eastAsia="zh-CN"/>
    </w:rPr>
  </w:style>
  <w:style w:type="paragraph" w:customStyle="1" w:styleId="95">
    <w:name w:val="A-Table Header"/>
    <w:next w:val="1"/>
    <w:qFormat/>
    <w:uiPriority w:val="0"/>
    <w:pPr>
      <w:spacing w:after="60"/>
    </w:pPr>
    <w:rPr>
      <w:rFonts w:ascii="Cambria" w:hAnsi="Cambria" w:eastAsia="宋体" w:cs="Cambria"/>
      <w:b/>
      <w:lang w:val="en-GB" w:eastAsia="zh-CN" w:bidi="ar-SA"/>
    </w:rPr>
  </w:style>
  <w:style w:type="paragraph" w:customStyle="1" w:styleId="96">
    <w:name w:val="列出段落31"/>
    <w:basedOn w:val="1"/>
    <w:qFormat/>
    <w:uiPriority w:val="0"/>
    <w:pPr>
      <w:ind w:firstLine="420" w:firstLineChars="200"/>
    </w:pPr>
    <w:rPr>
      <w:sz w:val="20"/>
      <w:szCs w:val="20"/>
      <w:lang w:eastAsia="zh-CN"/>
    </w:rPr>
  </w:style>
  <w:style w:type="paragraph" w:customStyle="1" w:styleId="97">
    <w:name w:val="普通(网站)1"/>
    <w:basedOn w:val="1"/>
    <w:qFormat/>
    <w:uiPriority w:val="0"/>
    <w:pPr>
      <w:spacing w:before="100" w:beforeAutospacing="1" w:after="100" w:afterAutospacing="1" w:line="384" w:lineRule="auto"/>
    </w:pPr>
    <w:rPr>
      <w:rFonts w:ascii="宋体" w:hAnsi="宋体" w:cs="宋体"/>
      <w:color w:val="000000"/>
      <w:sz w:val="21"/>
      <w:szCs w:val="21"/>
      <w:lang w:eastAsia="zh-CN"/>
    </w:rPr>
  </w:style>
  <w:style w:type="paragraph" w:customStyle="1" w:styleId="98">
    <w:name w:val="Text"/>
    <w:basedOn w:val="1"/>
    <w:qFormat/>
    <w:uiPriority w:val="0"/>
    <w:pPr>
      <w:spacing w:before="120"/>
    </w:pPr>
    <w:rPr>
      <w:szCs w:val="20"/>
      <w:lang w:eastAsia="zh-CN"/>
    </w:rPr>
  </w:style>
  <w:style w:type="paragraph" w:customStyle="1" w:styleId="99">
    <w:name w:val="Style ！标题2 + Times New Roman"/>
    <w:qFormat/>
    <w:uiPriority w:val="0"/>
    <w:pPr>
      <w:keepNext/>
      <w:keepLines/>
      <w:widowControl w:val="0"/>
      <w:spacing w:line="360" w:lineRule="auto"/>
      <w:ind w:left="720" w:hanging="720"/>
      <w:jc w:val="both"/>
      <w:outlineLvl w:val="0"/>
    </w:pPr>
    <w:rPr>
      <w:rFonts w:ascii="Times New Roman" w:hAnsi="Times New Roman" w:eastAsia="Times New Roman" w:cs="Times New Roman"/>
      <w:b/>
      <w:bCs/>
      <w:color w:val="000000"/>
      <w:kern w:val="2"/>
      <w:sz w:val="24"/>
      <w:szCs w:val="24"/>
      <w:u w:color="000000"/>
      <w:lang w:val="en-US" w:eastAsia="zh-CN" w:bidi="ar-SA"/>
    </w:rPr>
  </w:style>
  <w:style w:type="paragraph" w:customStyle="1" w:styleId="100">
    <w:name w:val="_Style 2"/>
    <w:qFormat/>
    <w:uiPriority w:val="0"/>
    <w:pPr>
      <w:widowControl w:val="0"/>
      <w:spacing w:line="360" w:lineRule="auto"/>
      <w:ind w:left="720" w:hanging="720"/>
      <w:jc w:val="both"/>
    </w:pPr>
    <w:rPr>
      <w:rFonts w:ascii="Calibri" w:hAnsi="Calibri" w:eastAsia="宋体" w:cs="Times New Roman"/>
      <w:kern w:val="2"/>
      <w:sz w:val="21"/>
      <w:szCs w:val="22"/>
      <w:lang w:val="en-US" w:eastAsia="zh-CN" w:bidi="ar-SA"/>
    </w:rPr>
  </w:style>
  <w:style w:type="paragraph" w:customStyle="1" w:styleId="101">
    <w:name w:val="默认"/>
    <w:qFormat/>
    <w:uiPriority w:val="0"/>
    <w:pPr>
      <w:spacing w:line="360" w:lineRule="auto"/>
      <w:ind w:left="720" w:hanging="720"/>
      <w:jc w:val="both"/>
    </w:pPr>
    <w:rPr>
      <w:rFonts w:ascii="Helvetica" w:hAnsi="Helvetica" w:eastAsia="Helvetica" w:cs="Helvetica"/>
      <w:color w:val="000000"/>
      <w:sz w:val="22"/>
      <w:szCs w:val="22"/>
      <w:lang w:val="en-US" w:eastAsia="zh-CN" w:bidi="ar-SA"/>
    </w:rPr>
  </w:style>
  <w:style w:type="paragraph" w:customStyle="1" w:styleId="102">
    <w:name w:val="列出段落2"/>
    <w:qFormat/>
    <w:uiPriority w:val="0"/>
    <w:pPr>
      <w:widowControl w:val="0"/>
      <w:spacing w:line="360" w:lineRule="auto"/>
      <w:ind w:left="720" w:firstLine="420"/>
      <w:jc w:val="both"/>
    </w:pPr>
    <w:rPr>
      <w:rFonts w:hint="eastAsia" w:ascii="Arial Unicode MS" w:hAnsi="Arial Unicode MS" w:eastAsia="Times New Roman" w:cs="Arial Unicode MS"/>
      <w:color w:val="000000"/>
      <w:kern w:val="2"/>
      <w:sz w:val="24"/>
      <w:szCs w:val="24"/>
      <w:u w:color="000000"/>
      <w:lang w:val="en-US" w:eastAsia="zh-CN" w:bidi="ar-SA"/>
    </w:rPr>
  </w:style>
  <w:style w:type="paragraph" w:customStyle="1" w:styleId="103">
    <w:name w:val="正文文本缩进 21"/>
    <w:qFormat/>
    <w:uiPriority w:val="0"/>
    <w:pPr>
      <w:widowControl w:val="0"/>
      <w:spacing w:line="300" w:lineRule="auto"/>
      <w:ind w:left="720" w:firstLine="520"/>
      <w:jc w:val="both"/>
    </w:pPr>
    <w:rPr>
      <w:rFonts w:hint="eastAsia" w:ascii="Arial Unicode MS" w:hAnsi="Arial Unicode MS" w:eastAsia="Times New Roman" w:cs="Arial Unicode MS"/>
      <w:color w:val="000000"/>
      <w:kern w:val="2"/>
      <w:sz w:val="26"/>
      <w:szCs w:val="26"/>
      <w:u w:color="000000"/>
      <w:lang w:val="en-US" w:eastAsia="zh-CN" w:bidi="ar-SA"/>
    </w:rPr>
  </w:style>
  <w:style w:type="paragraph" w:customStyle="1" w:styleId="104">
    <w:name w:val="正文缩进1"/>
    <w:basedOn w:val="1"/>
    <w:qFormat/>
    <w:uiPriority w:val="0"/>
    <w:pPr>
      <w:widowControl w:val="0"/>
      <w:ind w:firstLine="420"/>
    </w:pPr>
    <w:rPr>
      <w:kern w:val="2"/>
      <w:sz w:val="21"/>
      <w:szCs w:val="20"/>
      <w:lang w:eastAsia="zh-CN"/>
    </w:rPr>
  </w:style>
  <w:style w:type="paragraph" w:customStyle="1" w:styleId="105">
    <w:name w:val="！标题2"/>
    <w:next w:val="50"/>
    <w:qFormat/>
    <w:uiPriority w:val="0"/>
    <w:pPr>
      <w:keepNext/>
      <w:keepLines/>
      <w:widowControl w:val="0"/>
      <w:spacing w:line="360" w:lineRule="auto"/>
      <w:ind w:left="720" w:hanging="720"/>
      <w:jc w:val="both"/>
      <w:outlineLvl w:val="3"/>
    </w:pPr>
    <w:rPr>
      <w:rFonts w:ascii="Cambria" w:hAnsi="Cambria" w:eastAsia="宋体" w:cs="Cambria"/>
      <w:b/>
      <w:bCs/>
      <w:color w:val="000000"/>
      <w:kern w:val="2"/>
      <w:sz w:val="28"/>
      <w:szCs w:val="24"/>
      <w:u w:color="000000"/>
      <w:lang w:val="en-US" w:eastAsia="zh-CN" w:bidi="ar-SA"/>
    </w:rPr>
  </w:style>
  <w:style w:type="paragraph" w:customStyle="1" w:styleId="106">
    <w:name w:val="无间隔1"/>
    <w:qFormat/>
    <w:uiPriority w:val="0"/>
    <w:pPr>
      <w:widowControl w:val="0"/>
      <w:spacing w:line="360" w:lineRule="auto"/>
      <w:ind w:left="720" w:hanging="720"/>
      <w:jc w:val="both"/>
    </w:pPr>
    <w:rPr>
      <w:rFonts w:ascii="Times New Roman" w:hAnsi="Times New Roman" w:eastAsia="宋体" w:cs="Times New Roman"/>
      <w:kern w:val="2"/>
      <w:sz w:val="21"/>
      <w:szCs w:val="24"/>
      <w:lang w:val="en-US" w:eastAsia="zh-CN" w:bidi="ar-SA"/>
    </w:rPr>
  </w:style>
  <w:style w:type="paragraph" w:customStyle="1" w:styleId="107">
    <w:name w:val="TOC 标题1"/>
    <w:basedOn w:val="2"/>
    <w:next w:val="1"/>
    <w:qFormat/>
    <w:uiPriority w:val="39"/>
    <w:pPr>
      <w:widowControl/>
      <w:spacing w:before="480" w:line="276" w:lineRule="auto"/>
      <w:ind w:left="0" w:firstLine="0"/>
      <w:jc w:val="left"/>
      <w:outlineLvl w:val="9"/>
    </w:pPr>
    <w:rPr>
      <w:rFonts w:ascii="Cambria" w:hAnsi="Cambria"/>
      <w:color w:val="365F91"/>
      <w:kern w:val="0"/>
      <w:sz w:val="28"/>
      <w:szCs w:val="28"/>
      <w:lang w:eastAsia="zh-CN"/>
    </w:rPr>
  </w:style>
  <w:style w:type="paragraph" w:styleId="108">
    <w:name w:val="List Paragraph"/>
    <w:basedOn w:val="1"/>
    <w:qFormat/>
    <w:uiPriority w:val="34"/>
    <w:pPr>
      <w:ind w:firstLine="420" w:firstLineChars="200"/>
    </w:pPr>
    <w:rPr>
      <w:rFonts w:ascii="Calibri" w:hAnsi="Calibri"/>
      <w:kern w:val="2"/>
      <w:sz w:val="21"/>
      <w:szCs w:val="22"/>
      <w:lang w:eastAsia="zh-CN"/>
    </w:rPr>
  </w:style>
  <w:style w:type="paragraph" w:customStyle="1" w:styleId="109">
    <w:name w:val="List Paragraph1"/>
    <w:qFormat/>
    <w:uiPriority w:val="0"/>
    <w:pPr>
      <w:widowControl w:val="0"/>
      <w:spacing w:line="360" w:lineRule="auto"/>
      <w:ind w:left="720" w:firstLine="420"/>
      <w:jc w:val="both"/>
    </w:pPr>
    <w:rPr>
      <w:rFonts w:ascii="Calibri" w:hAnsi="Calibri" w:eastAsia="Calibri" w:cs="Calibri"/>
      <w:color w:val="000000"/>
      <w:kern w:val="2"/>
      <w:sz w:val="21"/>
      <w:szCs w:val="21"/>
      <w:u w:color="000000"/>
      <w:lang w:val="en-US" w:eastAsia="zh-CN" w:bidi="ar-SA"/>
    </w:rPr>
  </w:style>
  <w:style w:type="paragraph" w:customStyle="1" w:styleId="110">
    <w:name w:val="A1标准段落"/>
    <w:basedOn w:val="1"/>
    <w:qFormat/>
    <w:uiPriority w:val="0"/>
    <w:pPr>
      <w:autoSpaceDE w:val="0"/>
      <w:autoSpaceDN w:val="0"/>
      <w:adjustRightInd w:val="0"/>
      <w:spacing w:beforeLines="50" w:line="400" w:lineRule="exact"/>
      <w:ind w:firstLine="200" w:firstLineChars="200"/>
    </w:pPr>
    <w:rPr>
      <w:szCs w:val="21"/>
      <w:lang w:eastAsia="zh-CN"/>
    </w:rPr>
  </w:style>
  <w:style w:type="paragraph" w:customStyle="1" w:styleId="111">
    <w:name w:val="Propertystatement"/>
    <w:qFormat/>
    <w:uiPriority w:val="0"/>
    <w:pPr>
      <w:spacing w:before="1200" w:line="360" w:lineRule="auto"/>
      <w:ind w:left="720" w:hanging="720"/>
      <w:jc w:val="center"/>
    </w:pPr>
    <w:rPr>
      <w:rFonts w:ascii="宋体" w:hAnsi="宋体" w:eastAsia="宋体" w:cs="宋体"/>
      <w:color w:val="000000"/>
      <w:u w:color="000000"/>
      <w:lang w:val="zh-TW" w:eastAsia="zh-TW" w:bidi="ar-SA"/>
    </w:rPr>
  </w:style>
  <w:style w:type="paragraph" w:customStyle="1" w:styleId="112">
    <w:name w:val="Style ！标题3 + Times New Roman"/>
    <w:qFormat/>
    <w:uiPriority w:val="0"/>
    <w:pPr>
      <w:keepNext/>
      <w:keepLines/>
      <w:widowControl w:val="0"/>
      <w:spacing w:line="360" w:lineRule="auto"/>
      <w:ind w:left="720" w:hanging="720"/>
      <w:jc w:val="both"/>
      <w:outlineLvl w:val="1"/>
    </w:pPr>
    <w:rPr>
      <w:rFonts w:ascii="Times New Roman" w:hAnsi="Times New Roman" w:eastAsia="Times New Roman" w:cs="Times New Roman"/>
      <w:b/>
      <w:bCs/>
      <w:color w:val="000000"/>
      <w:kern w:val="2"/>
      <w:sz w:val="24"/>
      <w:szCs w:val="24"/>
      <w:u w:color="000000"/>
      <w:lang w:val="en-US" w:eastAsia="zh-CN" w:bidi="ar-SA"/>
    </w:rPr>
  </w:style>
  <w:style w:type="paragraph" w:customStyle="1" w:styleId="113">
    <w:name w:val="details1"/>
    <w:basedOn w:val="1"/>
    <w:qFormat/>
    <w:uiPriority w:val="0"/>
    <w:pPr>
      <w:spacing w:line="240" w:lineRule="auto"/>
      <w:ind w:left="0" w:firstLine="0"/>
      <w:jc w:val="left"/>
    </w:pPr>
    <w:rPr>
      <w:rFonts w:ascii="宋体" w:hAnsi="宋体" w:cs="宋体"/>
      <w:sz w:val="22"/>
      <w:szCs w:val="22"/>
      <w:lang w:eastAsia="zh-CN"/>
    </w:rPr>
  </w:style>
  <w:style w:type="paragraph" w:customStyle="1" w:styleId="114">
    <w:name w:val="页眉与页脚"/>
    <w:qFormat/>
    <w:uiPriority w:val="0"/>
    <w:pPr>
      <w:tabs>
        <w:tab w:val="right" w:pos="9020"/>
      </w:tabs>
      <w:spacing w:line="360" w:lineRule="auto"/>
      <w:ind w:left="720" w:hanging="720"/>
      <w:jc w:val="both"/>
    </w:pPr>
    <w:rPr>
      <w:rFonts w:ascii="Helvetica" w:hAnsi="Helvetica" w:eastAsia="Helvetica" w:cs="Helvetica"/>
      <w:color w:val="000000"/>
      <w:sz w:val="24"/>
      <w:szCs w:val="24"/>
      <w:lang w:val="en-US" w:eastAsia="zh-CN" w:bidi="ar-SA"/>
    </w:rPr>
  </w:style>
  <w:style w:type="paragraph" w:customStyle="1" w:styleId="115">
    <w:name w:val="正文文本缩进 22"/>
    <w:qFormat/>
    <w:uiPriority w:val="0"/>
    <w:pPr>
      <w:widowControl w:val="0"/>
      <w:spacing w:line="300" w:lineRule="auto"/>
      <w:ind w:left="720" w:firstLine="520"/>
      <w:jc w:val="both"/>
    </w:pPr>
    <w:rPr>
      <w:rFonts w:hint="eastAsia" w:ascii="Arial Unicode MS" w:hAnsi="Arial Unicode MS" w:eastAsia="Times New Roman" w:cs="Arial Unicode MS"/>
      <w:color w:val="000000"/>
      <w:kern w:val="2"/>
      <w:sz w:val="26"/>
      <w:szCs w:val="26"/>
      <w:u w:color="000000"/>
      <w:lang w:val="en-US" w:eastAsia="zh-CN" w:bidi="ar-SA"/>
    </w:rPr>
  </w:style>
  <w:style w:type="paragraph" w:customStyle="1" w:styleId="116">
    <w:name w:val="05标准乙级标题"/>
    <w:basedOn w:val="1"/>
    <w:next w:val="110"/>
    <w:qFormat/>
    <w:uiPriority w:val="0"/>
    <w:pPr>
      <w:keepNext/>
      <w:autoSpaceDE w:val="0"/>
      <w:autoSpaceDN w:val="0"/>
      <w:adjustRightInd w:val="0"/>
      <w:spacing w:beforeLines="50"/>
      <w:outlineLvl w:val="1"/>
    </w:pPr>
    <w:rPr>
      <w:b/>
      <w:szCs w:val="21"/>
      <w:lang w:eastAsia="zh-CN"/>
    </w:rPr>
  </w:style>
  <w:style w:type="paragraph" w:customStyle="1" w:styleId="117">
    <w:name w:val="_Style 1"/>
    <w:basedOn w:val="1"/>
    <w:qFormat/>
    <w:uiPriority w:val="0"/>
    <w:pPr>
      <w:ind w:firstLine="420" w:firstLineChars="200"/>
    </w:pPr>
    <w:rPr>
      <w:rFonts w:ascii="Calibri" w:hAnsi="Calibri"/>
      <w:szCs w:val="22"/>
    </w:rPr>
  </w:style>
  <w:style w:type="table" w:customStyle="1" w:styleId="118">
    <w:name w:val="网格型1"/>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9">
    <w:name w:val="Table Normal"/>
    <w:qFormat/>
    <w:uiPriority w:val="0"/>
    <w:pPr>
      <w:spacing w:line="360" w:lineRule="auto"/>
      <w:ind w:left="720" w:hanging="720"/>
      <w:jc w:val="both"/>
    </w:pPr>
    <w:tblPr>
      <w:tblLayout w:type="fixed"/>
      <w:tblCellMar>
        <w:top w:w="0" w:type="dxa"/>
        <w:left w:w="0" w:type="dxa"/>
        <w:bottom w:w="0" w:type="dxa"/>
        <w:right w:w="0" w:type="dxa"/>
      </w:tblCellMar>
    </w:tblPr>
  </w:style>
  <w:style w:type="character" w:customStyle="1" w:styleId="120">
    <w:name w:val="未处理的提及2"/>
    <w:basedOn w:val="29"/>
    <w:semiHidden/>
    <w:unhideWhenUsed/>
    <w:qFormat/>
    <w:uiPriority w:val="99"/>
    <w:rPr>
      <w:color w:val="808080"/>
      <w:shd w:val="clear" w:color="auto" w:fill="E6E6E6"/>
    </w:rPr>
  </w:style>
  <w:style w:type="character" w:customStyle="1" w:styleId="121">
    <w:name w:val="ui-icon26"/>
    <w:basedOn w:val="29"/>
    <w:qFormat/>
    <w:uiPriority w:val="0"/>
  </w:style>
  <w:style w:type="character" w:customStyle="1" w:styleId="122">
    <w:name w:val="ui-icon-arrowthick-2-n-s2"/>
    <w:basedOn w:val="29"/>
    <w:qFormat/>
    <w:uiPriority w:val="0"/>
  </w:style>
  <w:style w:type="character" w:customStyle="1" w:styleId="123">
    <w:name w:val="ui-icon25"/>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emf"/><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9BB31-39A8-4988-B409-62C85FE57FA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6964</Words>
  <Characters>39697</Characters>
  <Lines>330</Lines>
  <Paragraphs>93</Paragraphs>
  <TotalTime>14</TotalTime>
  <ScaleCrop>false</ScaleCrop>
  <LinksUpToDate>false</LinksUpToDate>
  <CharactersWithSpaces>46568</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2018-01-25T06:24:00Z</dcterms:created>
  <dc:creator>Administrator</dc:creator>
  <cp:lastModifiedBy>qq</cp:lastModifiedBy>
  <cp:lastPrinted>2018-01-25T14:16:00Z</cp:lastPrinted>
  <dcterms:modified xsi:type="dcterms:W3CDTF">2019-08-16T01:19:52Z</dcterms:modified>
  <dc:title>Administrator</dc:title>
  <cp:revision>1702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